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R4-2504366</w:t>
      </w:r>
      <w:bookmarkStart w:id="5" w:name="_GoBack"/>
      <w:bookmarkEnd w:id="5"/>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1BDABF6B">
      <w:pPr>
        <w:tabs>
          <w:tab w:val="left" w:pos="1985"/>
        </w:tabs>
        <w:spacing w:after="180"/>
        <w:ind w:left="1980" w:hanging="1980"/>
        <w:rPr>
          <w:rFonts w:hint="eastAsia" w:ascii="Arial" w:hAnsi="Arial" w:eastAsia="MS Mincho"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9.1</w:t>
      </w:r>
    </w:p>
    <w:p w14:paraId="70AF4440">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78B2A5DD">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the simplification for BS spec</w:t>
      </w:r>
    </w:p>
    <w:p w14:paraId="328491F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22949CEE">
      <w:pPr>
        <w:pStyle w:val="59"/>
        <w:tabs>
          <w:tab w:val="left" w:pos="567"/>
          <w:tab w:val="clear" w:pos="1985"/>
        </w:tabs>
        <w:adjustRightInd w:val="0"/>
        <w:ind w:left="510" w:hanging="510"/>
      </w:pPr>
      <w:r>
        <w:t>Introduction</w:t>
      </w:r>
    </w:p>
    <w:p w14:paraId="5A7ABAB3">
      <w:pPr>
        <w:tabs>
          <w:tab w:val="left" w:pos="2127"/>
        </w:tabs>
        <w:spacing w:after="0"/>
        <w:rPr>
          <w:rFonts w:hint="default" w:eastAsia="宋体"/>
          <w:lang w:val="en-US" w:eastAsia="zh-CN"/>
        </w:rPr>
      </w:pPr>
      <w:r>
        <w:rPr>
          <w:rFonts w:hint="eastAsia"/>
        </w:rPr>
        <w:t>In the RAN#10</w:t>
      </w:r>
      <w:r>
        <w:rPr>
          <w:rFonts w:hint="eastAsia"/>
          <w:lang w:val="en-US" w:eastAsia="zh-CN"/>
        </w:rPr>
        <w:t>6</w:t>
      </w:r>
      <w:r>
        <w:rPr>
          <w:rFonts w:hint="eastAsia"/>
        </w:rPr>
        <w:t xml:space="preserve"> meeting, </w:t>
      </w:r>
      <w:r>
        <w:rPr>
          <w:rFonts w:hint="eastAsia"/>
          <w:lang w:val="en-US" w:eastAsia="zh-CN"/>
        </w:rPr>
        <w:t xml:space="preserve">new RAN task is given for RAN4 to investigate how to simplify the BS spec especially from BS transmitter co-existence and co-location spurious emission and co-location blocking requirement perspective. In this contribution, we would like to share some initial views on these requirement.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F84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2AD680A">
            <w:pPr>
              <w:keepNext w:val="0"/>
              <w:keepLines w:val="0"/>
              <w:suppressLineNumbers w:val="0"/>
              <w:spacing w:before="0" w:beforeAutospacing="0" w:afterAutospacing="0"/>
              <w:ind w:left="0" w:right="0"/>
              <w:rPr>
                <w:rFonts w:hint="default"/>
                <w:lang w:eastAsia="ja-JP"/>
              </w:rPr>
            </w:pPr>
            <w:r>
              <w:rPr>
                <w:rFonts w:hint="default"/>
                <w:lang w:eastAsia="ja-JP"/>
              </w:rPr>
              <w:t>Focus on the following options:</w:t>
            </w:r>
          </w:p>
          <w:p w14:paraId="3890B4EB">
            <w:pPr>
              <w:pStyle w:val="38"/>
              <w:keepNext w:val="0"/>
              <w:keepLines w:val="0"/>
              <w:numPr>
                <w:ilvl w:val="0"/>
                <w:numId w:val="4"/>
              </w:numPr>
              <w:suppressLineNumbers w:val="0"/>
              <w:spacing w:before="0" w:beforeAutospacing="0" w:afterAutospacing="0"/>
              <w:ind w:right="0" w:firstLineChars="0"/>
              <w:rPr>
                <w:rFonts w:hint="default"/>
                <w:lang w:eastAsia="ja-JP"/>
              </w:rPr>
            </w:pPr>
            <w:r>
              <w:rPr>
                <w:rFonts w:hint="default"/>
                <w:lang w:eastAsia="ja-JP"/>
              </w:rPr>
              <w:t>Maintain tables for co-existence and co-location in each specification but simplify them, e.g., according proposals in [3, 4].</w:t>
            </w:r>
          </w:p>
          <w:p w14:paraId="26AB0E7B">
            <w:pPr>
              <w:pStyle w:val="38"/>
              <w:keepNext w:val="0"/>
              <w:keepLines w:val="0"/>
              <w:numPr>
                <w:ilvl w:val="0"/>
                <w:numId w:val="4"/>
              </w:numPr>
              <w:suppressLineNumbers w:val="0"/>
              <w:spacing w:before="0" w:beforeAutospacing="0" w:afterAutospacing="0"/>
              <w:ind w:right="0" w:firstLineChars="0"/>
              <w:rPr>
                <w:rFonts w:hint="default"/>
                <w:lang w:eastAsia="ja-JP"/>
              </w:rPr>
            </w:pPr>
            <w:r>
              <w:rPr>
                <w:rFonts w:hint="default"/>
                <w:lang w:eastAsia="ja-JP"/>
              </w:rPr>
              <w:t xml:space="preserve"> Create a new standalone specification, </w:t>
            </w:r>
            <w:r>
              <w:rPr>
                <w:rFonts w:hint="default"/>
                <w:lang w:eastAsia="zh-CN"/>
              </w:rPr>
              <w:t>capturing all the network-node requirements for co-existence and co-location.</w:t>
            </w:r>
          </w:p>
          <w:p w14:paraId="40C80575">
            <w:pPr>
              <w:pStyle w:val="38"/>
              <w:keepNext w:val="0"/>
              <w:keepLines w:val="0"/>
              <w:numPr>
                <w:ilvl w:val="1"/>
                <w:numId w:val="4"/>
              </w:numPr>
              <w:suppressLineNumbers w:val="0"/>
              <w:spacing w:before="0" w:beforeAutospacing="0" w:afterAutospacing="0"/>
              <w:ind w:right="0" w:firstLineChars="0"/>
              <w:rPr>
                <w:rFonts w:hint="default"/>
                <w:lang w:eastAsia="ja-JP"/>
              </w:rPr>
            </w:pPr>
            <w:r>
              <w:rPr>
                <w:rFonts w:hint="default"/>
                <w:lang w:eastAsia="zh-CN"/>
              </w:rPr>
              <w:t>This option does not exclude simplification of existing tables as the same time, as in bullet 1.</w:t>
            </w:r>
          </w:p>
          <w:p w14:paraId="73866C1F">
            <w:pPr>
              <w:keepNext w:val="0"/>
              <w:keepLines w:val="0"/>
              <w:suppressLineNumbers w:val="0"/>
              <w:spacing w:before="0" w:beforeAutospacing="0" w:afterAutospacing="0"/>
              <w:ind w:left="0" w:right="0"/>
              <w:rPr>
                <w:rFonts w:hint="default"/>
                <w:lang w:eastAsia="zh-CN"/>
              </w:rPr>
            </w:pPr>
            <w:r>
              <w:rPr>
                <w:rFonts w:hint="default"/>
                <w:lang w:eastAsia="zh-CN"/>
              </w:rPr>
              <w:t>Other options are not precluded.</w:t>
            </w:r>
          </w:p>
          <w:p w14:paraId="311F026B">
            <w:pPr>
              <w:keepNext w:val="0"/>
              <w:keepLines w:val="0"/>
              <w:suppressLineNumbers w:val="0"/>
              <w:spacing w:before="0" w:beforeAutospacing="0" w:afterAutospacing="0"/>
              <w:ind w:left="0" w:right="0"/>
              <w:rPr>
                <w:rFonts w:hint="default"/>
                <w:lang w:eastAsia="zh-CN"/>
              </w:rPr>
            </w:pPr>
          </w:p>
          <w:p w14:paraId="26471053">
            <w:pPr>
              <w:keepNext w:val="0"/>
              <w:keepLines w:val="0"/>
              <w:suppressLineNumbers w:val="0"/>
              <w:spacing w:before="0" w:beforeAutospacing="0" w:afterAutospacing="0"/>
              <w:ind w:left="0" w:right="0"/>
              <w:rPr>
                <w:rFonts w:hint="default"/>
                <w:lang w:eastAsia="zh-CN"/>
              </w:rPr>
            </w:pPr>
            <w:r>
              <w:rPr>
                <w:rFonts w:hint="default"/>
                <w:lang w:eastAsia="zh-CN"/>
              </w:rPr>
              <w:t>Companies are encouraged to present the possible implementations of these options during next meetings, e.g., draft CR, etc.</w:t>
            </w:r>
          </w:p>
          <w:p w14:paraId="053D5637">
            <w:pPr>
              <w:keepNext w:val="0"/>
              <w:keepLines w:val="0"/>
              <w:suppressLineNumbers w:val="0"/>
              <w:spacing w:before="0" w:beforeAutospacing="0" w:afterAutospacing="0"/>
              <w:ind w:left="0" w:right="0"/>
              <w:rPr>
                <w:rFonts w:hint="default"/>
                <w:b/>
                <w:bCs/>
                <w:lang w:eastAsia="zh-CN"/>
              </w:rPr>
            </w:pPr>
            <w:r>
              <w:rPr>
                <w:rFonts w:hint="default"/>
                <w:lang w:eastAsia="zh-CN"/>
              </w:rPr>
              <w:t>Companies are encouraged to identify pros and cons of the above options, considering (but not limited to) the following aspects:</w:t>
            </w:r>
          </w:p>
          <w:p w14:paraId="4D85A11E">
            <w:pPr>
              <w:pStyle w:val="38"/>
              <w:keepNext w:val="0"/>
              <w:keepLines w:val="0"/>
              <w:numPr>
                <w:ilvl w:val="0"/>
                <w:numId w:val="5"/>
              </w:numPr>
              <w:suppressLineNumbers w:val="0"/>
              <w:overflowPunct/>
              <w:autoSpaceDE/>
              <w:autoSpaceDN/>
              <w:adjustRightInd/>
              <w:spacing w:before="0" w:beforeAutospacing="0" w:after="0" w:afterAutospacing="0"/>
              <w:ind w:left="720" w:right="0" w:firstLineChars="0"/>
              <w:textAlignment w:val="auto"/>
              <w:rPr>
                <w:rFonts w:hint="default"/>
              </w:rPr>
            </w:pPr>
            <w:r>
              <w:rPr>
                <w:rFonts w:hint="default"/>
              </w:rPr>
              <w:t>Workload for introduction of a new operating band,</w:t>
            </w:r>
          </w:p>
          <w:p w14:paraId="1A82E0FB">
            <w:pPr>
              <w:pStyle w:val="38"/>
              <w:keepNext w:val="0"/>
              <w:keepLines w:val="0"/>
              <w:numPr>
                <w:ilvl w:val="0"/>
                <w:numId w:val="5"/>
              </w:numPr>
              <w:suppressLineNumbers w:val="0"/>
              <w:overflowPunct/>
              <w:autoSpaceDE/>
              <w:autoSpaceDN/>
              <w:adjustRightInd/>
              <w:spacing w:before="0" w:beforeAutospacing="0" w:after="0" w:afterAutospacing="0"/>
              <w:ind w:left="720" w:right="0" w:firstLineChars="0"/>
              <w:textAlignment w:val="auto"/>
              <w:rPr>
                <w:rFonts w:hint="default"/>
              </w:rPr>
            </w:pPr>
            <w:r>
              <w:rPr>
                <w:rFonts w:hint="default"/>
              </w:rPr>
              <w:t>Future-proof consideration, especially considering 6G introduction,</w:t>
            </w:r>
          </w:p>
          <w:p w14:paraId="29FDB1EF">
            <w:pPr>
              <w:pStyle w:val="38"/>
              <w:keepNext w:val="0"/>
              <w:keepLines w:val="0"/>
              <w:numPr>
                <w:ilvl w:val="0"/>
                <w:numId w:val="5"/>
              </w:numPr>
              <w:suppressLineNumbers w:val="0"/>
              <w:overflowPunct/>
              <w:autoSpaceDE/>
              <w:autoSpaceDN/>
              <w:adjustRightInd/>
              <w:spacing w:before="0" w:beforeAutospacing="0" w:after="0" w:afterAutospacing="0"/>
              <w:ind w:left="720" w:right="0" w:firstLineChars="0"/>
              <w:textAlignment w:val="auto"/>
              <w:rPr>
                <w:rFonts w:hint="default"/>
              </w:rPr>
            </w:pPr>
            <w:r>
              <w:rPr>
                <w:rFonts w:hint="default"/>
              </w:rPr>
              <w:t xml:space="preserve">Repetitions reduction among multiple specifications, </w:t>
            </w:r>
          </w:p>
          <w:p w14:paraId="1B78CC1F">
            <w:pPr>
              <w:pStyle w:val="38"/>
              <w:keepNext w:val="0"/>
              <w:keepLines w:val="0"/>
              <w:numPr>
                <w:ilvl w:val="0"/>
                <w:numId w:val="5"/>
              </w:numPr>
              <w:suppressLineNumbers w:val="0"/>
              <w:overflowPunct/>
              <w:autoSpaceDE/>
              <w:autoSpaceDN/>
              <w:adjustRightInd/>
              <w:spacing w:before="0" w:beforeAutospacing="0" w:after="0" w:afterAutospacing="0"/>
              <w:ind w:left="720" w:right="0" w:firstLineChars="0"/>
              <w:textAlignment w:val="auto"/>
              <w:rPr>
                <w:rFonts w:hint="default"/>
              </w:rPr>
            </w:pPr>
            <w:r>
              <w:rPr>
                <w:rFonts w:hint="default"/>
              </w:rPr>
              <w:t xml:space="preserve">Amount of specifications that contain together the complete information necessary to perform conformance testing in the lab. </w:t>
            </w:r>
          </w:p>
          <w:p w14:paraId="2043432C">
            <w:pPr>
              <w:keepNext w:val="0"/>
              <w:keepLines w:val="0"/>
              <w:suppressLineNumbers w:val="0"/>
              <w:spacing w:before="0" w:beforeAutospacing="0" w:afterAutospacing="0"/>
              <w:ind w:left="0" w:right="0"/>
              <w:rPr>
                <w:rFonts w:hint="default"/>
                <w:lang w:eastAsia="zh-CN"/>
              </w:rPr>
            </w:pPr>
          </w:p>
          <w:p w14:paraId="476E45D8">
            <w:pPr>
              <w:keepNext w:val="0"/>
              <w:keepLines w:val="0"/>
              <w:suppressLineNumbers w:val="0"/>
              <w:spacing w:before="0" w:beforeAutospacing="0" w:afterAutospacing="0"/>
              <w:ind w:left="0" w:right="0"/>
              <w:rPr>
                <w:rFonts w:hint="default"/>
              </w:rPr>
            </w:pPr>
            <w:r>
              <w:rPr>
                <w:rFonts w:hint="default"/>
              </w:rPr>
              <w:t xml:space="preserve">Final solution shall cover network node specifications, including the following aspects: </w:t>
            </w:r>
          </w:p>
          <w:p w14:paraId="6BE6A938">
            <w:pPr>
              <w:pStyle w:val="38"/>
              <w:keepNext w:val="0"/>
              <w:keepLines w:val="0"/>
              <w:numPr>
                <w:ilvl w:val="1"/>
                <w:numId w:val="6"/>
              </w:numPr>
              <w:suppressLineNumbers w:val="0"/>
              <w:overflowPunct/>
              <w:autoSpaceDE/>
              <w:autoSpaceDN/>
              <w:adjustRightInd/>
              <w:spacing w:before="0" w:beforeAutospacing="0" w:after="0" w:afterAutospacing="0"/>
              <w:ind w:left="1440" w:right="0" w:firstLineChars="0"/>
              <w:textAlignment w:val="auto"/>
              <w:rPr>
                <w:rFonts w:hint="default"/>
              </w:rPr>
            </w:pPr>
            <w:r>
              <w:rPr>
                <w:rFonts w:hint="default"/>
              </w:rPr>
              <w:t>BS, IAB, and Repeater requirements,</w:t>
            </w:r>
          </w:p>
          <w:p w14:paraId="5CF83693">
            <w:pPr>
              <w:pStyle w:val="38"/>
              <w:keepNext w:val="0"/>
              <w:keepLines w:val="0"/>
              <w:numPr>
                <w:ilvl w:val="1"/>
                <w:numId w:val="6"/>
              </w:numPr>
              <w:suppressLineNumbers w:val="0"/>
              <w:overflowPunct/>
              <w:autoSpaceDE/>
              <w:autoSpaceDN/>
              <w:adjustRightInd/>
              <w:spacing w:before="0" w:beforeAutospacing="0" w:after="0" w:afterAutospacing="0"/>
              <w:ind w:left="1440" w:right="0" w:firstLineChars="0"/>
              <w:textAlignment w:val="auto"/>
              <w:rPr>
                <w:rFonts w:hint="default"/>
              </w:rPr>
            </w:pPr>
            <w:r>
              <w:rPr>
                <w:rFonts w:hint="default"/>
              </w:rPr>
              <w:t>All RATs of interest,</w:t>
            </w:r>
          </w:p>
          <w:p w14:paraId="3ECFA5DD">
            <w:pPr>
              <w:pStyle w:val="38"/>
              <w:keepNext w:val="0"/>
              <w:keepLines w:val="0"/>
              <w:numPr>
                <w:ilvl w:val="1"/>
                <w:numId w:val="6"/>
              </w:numPr>
              <w:suppressLineNumbers w:val="0"/>
              <w:overflowPunct/>
              <w:autoSpaceDE/>
              <w:autoSpaceDN/>
              <w:adjustRightInd/>
              <w:spacing w:before="0" w:beforeAutospacing="0" w:after="0" w:afterAutospacing="0"/>
              <w:ind w:left="1440" w:right="0" w:firstLineChars="0"/>
              <w:textAlignment w:val="auto"/>
              <w:rPr>
                <w:rFonts w:hint="default"/>
              </w:rPr>
            </w:pPr>
            <w:r>
              <w:rPr>
                <w:rFonts w:hint="default"/>
              </w:rPr>
              <w:t>SRAT, and MSR requirements,</w:t>
            </w:r>
          </w:p>
          <w:p w14:paraId="4902FB88">
            <w:pPr>
              <w:pStyle w:val="38"/>
              <w:keepNext w:val="0"/>
              <w:keepLines w:val="0"/>
              <w:numPr>
                <w:ilvl w:val="1"/>
                <w:numId w:val="6"/>
              </w:numPr>
              <w:suppressLineNumbers w:val="0"/>
              <w:overflowPunct/>
              <w:autoSpaceDE/>
              <w:autoSpaceDN/>
              <w:adjustRightInd/>
              <w:spacing w:before="0" w:beforeAutospacing="0" w:after="0" w:afterAutospacing="0"/>
              <w:ind w:left="1440" w:right="0" w:firstLineChars="0"/>
              <w:textAlignment w:val="auto"/>
              <w:rPr>
                <w:rFonts w:hint="default"/>
              </w:rPr>
            </w:pPr>
            <w:r>
              <w:rPr>
                <w:rFonts w:hint="default"/>
              </w:rPr>
              <w:t>Core and Performance parts to be covered,</w:t>
            </w:r>
          </w:p>
          <w:p w14:paraId="58C0A726">
            <w:pPr>
              <w:pStyle w:val="38"/>
              <w:keepNext w:val="0"/>
              <w:keepLines w:val="0"/>
              <w:numPr>
                <w:ilvl w:val="1"/>
                <w:numId w:val="6"/>
              </w:numPr>
              <w:suppressLineNumbers w:val="0"/>
              <w:overflowPunct/>
              <w:autoSpaceDE/>
              <w:autoSpaceDN/>
              <w:adjustRightInd/>
              <w:spacing w:before="0" w:beforeAutospacing="0" w:after="0" w:afterAutospacing="0"/>
              <w:ind w:left="1440" w:right="0" w:firstLineChars="0"/>
              <w:textAlignment w:val="auto"/>
              <w:rPr>
                <w:rFonts w:hint="default"/>
              </w:rPr>
            </w:pPr>
            <w:r>
              <w:rPr>
                <w:rFonts w:hint="default"/>
              </w:rPr>
              <w:t>Conducted and OTA requirements.</w:t>
            </w:r>
          </w:p>
        </w:tc>
      </w:tr>
    </w:tbl>
    <w:p w14:paraId="7ECC8703">
      <w:pPr>
        <w:pStyle w:val="59"/>
        <w:tabs>
          <w:tab w:val="left" w:pos="567"/>
          <w:tab w:val="clear" w:pos="1985"/>
        </w:tabs>
        <w:adjustRightInd w:val="0"/>
        <w:ind w:left="510" w:hanging="510"/>
        <w:rPr>
          <w:rFonts w:eastAsia="Times New Roman"/>
        </w:rPr>
      </w:pPr>
      <w:bookmarkStart w:id="1" w:name="OLE_LINK20"/>
      <w:bookmarkStart w:id="2" w:name="OLE_LINK10"/>
      <w:bookmarkStart w:id="3" w:name="OLE_LINK13"/>
      <w:bookmarkStart w:id="4" w:name="OLE_LINK14"/>
      <w:r>
        <w:rPr>
          <w:rFonts w:hint="eastAsia"/>
        </w:rPr>
        <w:t>Discussion</w:t>
      </w:r>
      <w:r>
        <w:rPr>
          <w:rFonts w:hint="eastAsia" w:eastAsia="Times New Roman"/>
        </w:rPr>
        <w:t xml:space="preserve"> </w:t>
      </w:r>
    </w:p>
    <w:p w14:paraId="12134D86">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Coexistence spurious emission requirement</w:t>
      </w:r>
    </w:p>
    <w:p w14:paraId="73DAD61A">
      <w:pPr>
        <w:pStyle w:val="49"/>
        <w:jc w:val="left"/>
        <w:rPr>
          <w:rFonts w:hint="eastAsia"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First of all, co-existence spurious emission requirement was defined with the following basic logic from 3G phase, however this basic logic was questioned by ETSI TFES already and RAN4 agreed to have additional objective to further investigate how to specify more appropriate value for these co-existence spurious emission requirement. Basic background to coexistence spurious requirement with E-UTRA or NR is summarized as following:</w:t>
      </w:r>
    </w:p>
    <w:p w14:paraId="04F44C38">
      <w:pPr>
        <w:rPr>
          <w:rFonts w:hint="eastAsia"/>
          <w:lang w:val="en-US" w:eastAsia="zh-CN"/>
        </w:rPr>
      </w:pPr>
      <w:r>
        <w:rPr>
          <w:rFonts w:hint="eastAsia"/>
          <w:lang w:val="en-US" w:eastAsia="zh-CN"/>
        </w:rPr>
        <w:t>If the co-existence spurious emission requirement is to protect the uplink receiver performance at BS side, then it is necessary to make sure the received spurious emission at victim node 7dB lower than its noise figure</w:t>
      </w:r>
    </w:p>
    <w:p w14:paraId="757A5104">
      <w:pPr>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028950" cy="199072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a:stretch>
                      <a:fillRect/>
                    </a:stretch>
                  </pic:blipFill>
                  <pic:spPr>
                    <a:xfrm>
                      <a:off x="0" y="0"/>
                      <a:ext cx="3028950" cy="1990725"/>
                    </a:xfrm>
                    <a:prstGeom prst="rect">
                      <a:avLst/>
                    </a:prstGeom>
                    <a:noFill/>
                    <a:ln w="9525">
                      <a:noFill/>
                    </a:ln>
                  </pic:spPr>
                </pic:pic>
              </a:graphicData>
            </a:graphic>
          </wp:inline>
        </w:drawing>
      </w:r>
    </w:p>
    <w:p w14:paraId="09E0F2ED">
      <w:pPr>
        <w:jc w:val="center"/>
        <w:rPr>
          <w:rFonts w:hint="default"/>
          <w:lang w:val="en-US" w:eastAsia="zh-CN"/>
        </w:rPr>
      </w:pPr>
      <w:r>
        <w:rPr>
          <w:rFonts w:hint="eastAsia"/>
          <w:lang w:val="en-US" w:eastAsia="zh-CN"/>
        </w:rPr>
        <w:t>Figure 2.1. the network layout assumption for 3G phase from our interpretation in 7.4.1.2.3 of TR 25.942</w:t>
      </w:r>
    </w:p>
    <w:p w14:paraId="14D8CD13">
      <w:pPr>
        <w:rPr>
          <w:rFonts w:hint="eastAsia" w:ascii="Times New Roman" w:hAnsi="Times New Roman" w:cs="Times New Roman"/>
          <w:lang w:val="en-US" w:eastAsia="zh-CN"/>
        </w:rPr>
      </w:pPr>
      <w:r>
        <w:rPr>
          <w:rFonts w:hint="eastAsia" w:cs="Times New Roman"/>
          <w:lang w:val="en-US" w:eastAsia="zh-CN"/>
        </w:rPr>
        <w:t>MCL=</w:t>
      </w:r>
      <w:r>
        <w:rPr>
          <w:rFonts w:hint="eastAsia" w:ascii="Times New Roman" w:hAnsi="Times New Roman" w:cs="Times New Roman"/>
          <w:lang w:val="en-US" w:eastAsia="zh-CN"/>
        </w:rPr>
        <w:t>FreeSpace-Tx_gain-Rx_gain= 87-10-10=67dBc</w:t>
      </w:r>
    </w:p>
    <w:p w14:paraId="1F171C59">
      <w:pPr>
        <w:rPr>
          <w:rFonts w:hint="eastAsia" w:cs="Times New Roman"/>
          <w:lang w:val="en-US" w:eastAsia="zh-CN"/>
        </w:rPr>
      </w:pPr>
      <w:r>
        <w:rPr>
          <w:rFonts w:hint="eastAsia" w:cs="Times New Roman"/>
          <w:lang w:val="en-US" w:eastAsia="zh-CN"/>
        </w:rPr>
        <w:t>Where:</w:t>
      </w:r>
    </w:p>
    <w:p w14:paraId="17C515E9">
      <w:pPr>
        <w:numPr>
          <w:ilvl w:val="0"/>
          <w:numId w:val="7"/>
        </w:numPr>
        <w:ind w:left="420" w:leftChars="0" w:hanging="420" w:firstLineChars="0"/>
        <w:rPr>
          <w:rFonts w:hint="eastAsia" w:cs="Times New Roman"/>
          <w:lang w:val="en-US" w:eastAsia="zh-CN"/>
        </w:rPr>
      </w:pPr>
      <w:r>
        <w:rPr>
          <w:rFonts w:hint="eastAsia" w:cs="Times New Roman"/>
          <w:lang w:val="en-US" w:eastAsia="zh-CN"/>
        </w:rPr>
        <w:t>Freespace is is corresponding to the pathloss of 577/2 meter;</w:t>
      </w:r>
    </w:p>
    <w:p w14:paraId="5A7E5DA6">
      <w:pPr>
        <w:numPr>
          <w:ilvl w:val="0"/>
          <w:numId w:val="7"/>
        </w:numPr>
        <w:ind w:left="420" w:leftChars="0" w:hanging="420" w:firstLineChars="0"/>
        <w:rPr>
          <w:rFonts w:hint="default" w:cs="Times New Roman"/>
          <w:lang w:val="en-US" w:eastAsia="zh-CN"/>
        </w:rPr>
      </w:pPr>
      <w:r>
        <w:rPr>
          <w:rFonts w:hint="eastAsia" w:cs="Times New Roman"/>
          <w:lang w:val="en-US" w:eastAsia="zh-CN"/>
        </w:rPr>
        <w:t xml:space="preserve">Tx gain and Rx gain is assumed as 10dB instead of 13dBi for some mechanical downtilt considered. </w:t>
      </w:r>
    </w:p>
    <w:p w14:paraId="5A99AE9D">
      <w:pPr>
        <w:rPr>
          <w:rFonts w:hint="default" w:cs="Arial"/>
          <w:highlight w:val="none"/>
          <w:lang w:val="en-US" w:eastAsia="zh-CN"/>
        </w:rPr>
      </w:pPr>
      <w:r>
        <w:rPr>
          <w:rFonts w:hint="eastAsia"/>
          <w:lang w:val="en-US" w:eastAsia="zh-CN"/>
        </w:rPr>
        <w:t>Based on the above information, then for the protection of the victim BS receiver performance, then it is equal to -</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5+67-7=-49dBm</w:t>
      </w:r>
      <w:r>
        <w:rPr>
          <w:rFonts w:hint="eastAsia" w:cs="Arial"/>
          <w:highlight w:val="none"/>
          <w:lang w:val="en-US" w:eastAsia="zh-CN"/>
        </w:rPr>
        <w:t>;</w:t>
      </w:r>
    </w:p>
    <w:p w14:paraId="40E08CDA">
      <w:pPr>
        <w:rPr>
          <w:rFonts w:hint="eastAsia"/>
          <w:lang w:val="en-US" w:eastAsia="zh-CN"/>
        </w:rPr>
      </w:pPr>
      <w:r>
        <w:rPr>
          <w:rFonts w:hint="eastAsia"/>
          <w:lang w:val="en-US" w:eastAsia="zh-CN"/>
        </w:rPr>
        <w:t xml:space="preserve">If the co-existence spurious emission requirement is to protect the UE receiver performance in the downlink direction, then it could be calculated as following: </w:t>
      </w:r>
    </w:p>
    <w:p w14:paraId="471A984A">
      <w:pPr>
        <w:jc w:val="center"/>
        <w:rPr>
          <w:rFonts w:hint="default"/>
          <w:lang w:val="en-US" w:eastAsia="zh-CN"/>
        </w:rPr>
      </w:pP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9+53=-52dBm</w:t>
      </w:r>
    </w:p>
    <w:p w14:paraId="2D784647">
      <w:pPr>
        <w:rPr>
          <w:rFonts w:hint="eastAsia" w:cs="Times New Roman"/>
          <w:lang w:val="en-US" w:eastAsia="zh-CN"/>
        </w:rPr>
      </w:pPr>
      <w:r>
        <w:rPr>
          <w:rFonts w:hint="eastAsia" w:cs="Times New Roman"/>
          <w:lang w:val="en-US" w:eastAsia="zh-CN"/>
        </w:rPr>
        <w:t>Where:</w:t>
      </w:r>
    </w:p>
    <w:p w14:paraId="61974101">
      <w:pPr>
        <w:numPr>
          <w:ilvl w:val="0"/>
          <w:numId w:val="7"/>
        </w:numPr>
        <w:ind w:left="420" w:leftChars="0" w:hanging="420" w:firstLineChars="0"/>
        <w:rPr>
          <w:rFonts w:hint="eastAsia" w:cs="Times New Roman"/>
          <w:lang w:val="en-US" w:eastAsia="zh-CN"/>
        </w:rPr>
      </w:pPr>
      <w:r>
        <w:rPr>
          <w:rFonts w:hint="eastAsia" w:cs="Times New Roman"/>
          <w:lang w:val="en-US" w:eastAsia="zh-CN"/>
        </w:rPr>
        <w:t>Freespace is is assumed as 53dBc as worst case considering the MCL for Medium range BS class</w:t>
      </w:r>
    </w:p>
    <w:p w14:paraId="69426369">
      <w:pPr>
        <w:numPr>
          <w:ilvl w:val="0"/>
          <w:numId w:val="7"/>
        </w:numPr>
        <w:ind w:left="420" w:leftChars="0" w:hanging="420" w:firstLineChars="0"/>
        <w:rPr>
          <w:rFonts w:hint="default"/>
          <w:lang w:val="en-US" w:eastAsia="zh-CN"/>
        </w:rPr>
      </w:pPr>
      <w:r>
        <w:rPr>
          <w:rFonts w:hint="eastAsia" w:cs="Times New Roman"/>
          <w:lang w:val="en-US" w:eastAsia="zh-CN"/>
        </w:rPr>
        <w:t xml:space="preserve">UE noise figure is assumed as 9dB; </w:t>
      </w:r>
    </w:p>
    <w:p w14:paraId="648A63D0">
      <w:pPr>
        <w:numPr>
          <w:ilvl w:val="0"/>
          <w:numId w:val="0"/>
        </w:numPr>
        <w:ind w:leftChars="0"/>
        <w:rPr>
          <w:rFonts w:hint="default"/>
          <w:lang w:val="en-US" w:eastAsia="zh-CN"/>
        </w:rPr>
      </w:pPr>
      <w:r>
        <w:rPr>
          <w:rFonts w:hint="eastAsia"/>
          <w:lang w:val="en-US" w:eastAsia="zh-CN"/>
        </w:rPr>
        <w:t xml:space="preserve">In Rel-19 BS RF enhancement, the MCL is still under the discussion since 67dBc between different BSs are questionable and also under the discussion in this RAN4 meeting and 52dbc between aggressor BS and victim UE are needed to be further investigated. Please find the following initial proposals on how to do the simplification for co-existence spurious emission requirement.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1414"/>
        <w:gridCol w:w="1414"/>
        <w:gridCol w:w="2876"/>
        <w:gridCol w:w="2701"/>
      </w:tblGrid>
      <w:tr w14:paraId="4308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037EF4CE">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Freq offset between coexistence bands edge </w:t>
            </w:r>
          </w:p>
        </w:tc>
        <w:tc>
          <w:tcPr>
            <w:tcW w:w="1597" w:type="dxa"/>
          </w:tcPr>
          <w:p w14:paraId="2B7F5581">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 between BSs</w:t>
            </w:r>
          </w:p>
        </w:tc>
        <w:tc>
          <w:tcPr>
            <w:tcW w:w="1597" w:type="dxa"/>
          </w:tcPr>
          <w:p w14:paraId="3A0F2F7B">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 between BS and UE</w:t>
            </w:r>
          </w:p>
        </w:tc>
        <w:tc>
          <w:tcPr>
            <w:tcW w:w="2701" w:type="dxa"/>
          </w:tcPr>
          <w:p w14:paraId="59AAC2A7">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Coexistence spurious emission for UL protection</w:t>
            </w:r>
          </w:p>
          <w:p w14:paraId="777BA296">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dBm/1MHz </w:t>
            </w:r>
          </w:p>
        </w:tc>
        <w:tc>
          <w:tcPr>
            <w:tcW w:w="2373" w:type="dxa"/>
          </w:tcPr>
          <w:p w14:paraId="16100567">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Coexistence spurious emission for DL protection</w:t>
            </w:r>
          </w:p>
          <w:p w14:paraId="508352C3">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dBm/1MHz</w:t>
            </w:r>
          </w:p>
        </w:tc>
      </w:tr>
      <w:tr w14:paraId="38C9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2585A29E">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&lt;= X MHz</w:t>
            </w:r>
          </w:p>
        </w:tc>
        <w:tc>
          <w:tcPr>
            <w:tcW w:w="1597" w:type="dxa"/>
          </w:tcPr>
          <w:p w14:paraId="01110130">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MCL1,1</w:t>
            </w:r>
          </w:p>
        </w:tc>
        <w:tc>
          <w:tcPr>
            <w:tcW w:w="1597" w:type="dxa"/>
          </w:tcPr>
          <w:p w14:paraId="1D2E3A16">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MCL1,2</w:t>
            </w:r>
          </w:p>
        </w:tc>
        <w:tc>
          <w:tcPr>
            <w:tcW w:w="2701" w:type="dxa"/>
          </w:tcPr>
          <w:p w14:paraId="2E6F2DDD">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lang w:val="en-US" w:eastAsia="zh-CN"/>
              </w:rPr>
              <w:t>-</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w:t>
            </w:r>
            <w:r>
              <w:rPr>
                <w:rFonts w:hint="eastAsia" w:cs="Arial"/>
                <w:highlight w:val="none"/>
                <w:lang w:val="en-US" w:eastAsia="zh-CN"/>
              </w:rPr>
              <w:t>-7+</w:t>
            </w:r>
            <w:r>
              <w:rPr>
                <w:rFonts w:hint="eastAsia"/>
                <w:vertAlign w:val="baseline"/>
                <w:lang w:val="en-US" w:eastAsia="zh-CN"/>
              </w:rPr>
              <w:t>MCL1,1</w:t>
            </w:r>
          </w:p>
        </w:tc>
        <w:tc>
          <w:tcPr>
            <w:tcW w:w="2373" w:type="dxa"/>
          </w:tcPr>
          <w:p w14:paraId="60B05BBF">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eastAsia="宋体" w:cs="Arial"/>
                <w:highlight w:val="none"/>
                <w:lang w:val="en-US" w:eastAsia="zh-CN"/>
              </w:rPr>
              <w:t>-174dBm/Hz+</w:t>
            </w:r>
            <w:r>
              <w:rPr>
                <w:rFonts w:hint="eastAsia"/>
                <w:vertAlign w:val="baseline"/>
                <w:lang w:val="en-US" w:eastAsia="zh-CN"/>
              </w:rPr>
              <w:t>MCL1,2</w:t>
            </w:r>
            <w:r>
              <w:rPr>
                <w:rFonts w:hint="eastAsia" w:cs="Arial"/>
                <w:highlight w:val="none"/>
                <w:lang w:val="en-US" w:eastAsia="zh-CN"/>
              </w:rPr>
              <w:t>+</w:t>
            </w:r>
            <w:r>
              <w:rPr>
                <w:rFonts w:hint="eastAsia" w:eastAsia="宋体" w:cs="Arial"/>
                <w:highlight w:val="none"/>
                <w:lang w:val="en-US" w:eastAsia="zh-CN"/>
              </w:rPr>
              <w:t>9</w:t>
            </w:r>
            <w:r>
              <w:rPr>
                <w:rFonts w:hint="eastAsia" w:cs="Arial"/>
                <w:highlight w:val="none"/>
                <w:lang w:val="en-US" w:eastAsia="zh-CN"/>
              </w:rPr>
              <w:t>+60</w:t>
            </w:r>
          </w:p>
        </w:tc>
      </w:tr>
      <w:tr w14:paraId="5FDD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17563C87">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&gt;X MHz &amp; &lt;=YMHz</w:t>
            </w:r>
          </w:p>
        </w:tc>
        <w:tc>
          <w:tcPr>
            <w:tcW w:w="1597" w:type="dxa"/>
          </w:tcPr>
          <w:p w14:paraId="70ADD312">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MCL2,1</w:t>
            </w:r>
          </w:p>
        </w:tc>
        <w:tc>
          <w:tcPr>
            <w:tcW w:w="1597" w:type="dxa"/>
          </w:tcPr>
          <w:p w14:paraId="08B7DC9D">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MCL2,2</w:t>
            </w:r>
          </w:p>
        </w:tc>
        <w:tc>
          <w:tcPr>
            <w:tcW w:w="2701" w:type="dxa"/>
            <w:vAlign w:val="top"/>
          </w:tcPr>
          <w:p w14:paraId="5E73F79D">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lang w:val="en-US" w:eastAsia="zh-CN"/>
              </w:rPr>
              <w:t>-</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w:t>
            </w:r>
            <w:r>
              <w:rPr>
                <w:rFonts w:hint="eastAsia" w:cs="Arial"/>
                <w:highlight w:val="none"/>
                <w:lang w:val="en-US" w:eastAsia="zh-CN"/>
              </w:rPr>
              <w:t>-7</w:t>
            </w:r>
            <w:r>
              <w:rPr>
                <w:rFonts w:hint="eastAsia" w:eastAsia="宋体" w:cs="Arial"/>
                <w:highlight w:val="none"/>
                <w:lang w:val="en-US" w:eastAsia="zh-CN"/>
              </w:rPr>
              <w:t>+</w:t>
            </w:r>
            <w:r>
              <w:rPr>
                <w:rFonts w:hint="eastAsia"/>
                <w:vertAlign w:val="baseline"/>
                <w:lang w:val="en-US" w:eastAsia="zh-CN"/>
              </w:rPr>
              <w:t>MCL2,1</w:t>
            </w:r>
          </w:p>
        </w:tc>
        <w:tc>
          <w:tcPr>
            <w:tcW w:w="2373" w:type="dxa"/>
            <w:vAlign w:val="top"/>
          </w:tcPr>
          <w:p w14:paraId="3F0BB805">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eastAsia="宋体" w:cs="Arial"/>
                <w:highlight w:val="none"/>
                <w:lang w:val="en-US" w:eastAsia="zh-CN"/>
              </w:rPr>
              <w:t>-174dBm/Hz+</w:t>
            </w:r>
            <w:r>
              <w:rPr>
                <w:rFonts w:hint="eastAsia"/>
                <w:vertAlign w:val="baseline"/>
                <w:lang w:val="en-US" w:eastAsia="zh-CN"/>
              </w:rPr>
              <w:t>MCL2,2</w:t>
            </w:r>
            <w:r>
              <w:rPr>
                <w:rFonts w:hint="eastAsia" w:cs="Arial"/>
                <w:highlight w:val="none"/>
                <w:lang w:val="en-US" w:eastAsia="zh-CN"/>
              </w:rPr>
              <w:t>+</w:t>
            </w:r>
            <w:r>
              <w:rPr>
                <w:rFonts w:hint="eastAsia" w:eastAsia="宋体" w:cs="Arial"/>
                <w:highlight w:val="none"/>
                <w:lang w:val="en-US" w:eastAsia="zh-CN"/>
              </w:rPr>
              <w:t>9</w:t>
            </w:r>
            <w:r>
              <w:rPr>
                <w:rFonts w:hint="eastAsia" w:cs="Arial"/>
                <w:highlight w:val="none"/>
                <w:lang w:val="en-US" w:eastAsia="zh-CN"/>
              </w:rPr>
              <w:t>+60</w:t>
            </w:r>
          </w:p>
        </w:tc>
      </w:tr>
      <w:tr w14:paraId="4BDC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6BD611BD">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 YMHz</w:t>
            </w:r>
          </w:p>
        </w:tc>
        <w:tc>
          <w:tcPr>
            <w:tcW w:w="1597" w:type="dxa"/>
          </w:tcPr>
          <w:p w14:paraId="414F4945">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MCL3,1</w:t>
            </w:r>
          </w:p>
        </w:tc>
        <w:tc>
          <w:tcPr>
            <w:tcW w:w="1597" w:type="dxa"/>
          </w:tcPr>
          <w:p w14:paraId="26CA26C0">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MCL3,2</w:t>
            </w:r>
          </w:p>
        </w:tc>
        <w:tc>
          <w:tcPr>
            <w:tcW w:w="2701" w:type="dxa"/>
            <w:vAlign w:val="top"/>
          </w:tcPr>
          <w:p w14:paraId="4EF75971">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lang w:val="en-US" w:eastAsia="zh-CN"/>
              </w:rPr>
              <w:t>-</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w:t>
            </w:r>
            <w:r>
              <w:rPr>
                <w:rFonts w:hint="eastAsia" w:cs="Arial"/>
                <w:highlight w:val="none"/>
                <w:lang w:val="en-US" w:eastAsia="zh-CN"/>
              </w:rPr>
              <w:t>-7</w:t>
            </w:r>
            <w:r>
              <w:rPr>
                <w:rFonts w:hint="eastAsia" w:eastAsia="宋体" w:cs="Arial"/>
                <w:highlight w:val="none"/>
                <w:lang w:val="en-US" w:eastAsia="zh-CN"/>
              </w:rPr>
              <w:t>+</w:t>
            </w:r>
            <w:r>
              <w:rPr>
                <w:rFonts w:hint="eastAsia"/>
                <w:vertAlign w:val="baseline"/>
                <w:lang w:val="en-US" w:eastAsia="zh-CN"/>
              </w:rPr>
              <w:t>MCL3,1</w:t>
            </w:r>
          </w:p>
        </w:tc>
        <w:tc>
          <w:tcPr>
            <w:tcW w:w="2373" w:type="dxa"/>
            <w:vAlign w:val="top"/>
          </w:tcPr>
          <w:p w14:paraId="2870A329">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eastAsia="宋体" w:cs="Arial"/>
                <w:highlight w:val="none"/>
                <w:lang w:val="en-US" w:eastAsia="zh-CN"/>
              </w:rPr>
              <w:t>-174dBm/Hz+</w:t>
            </w:r>
            <w:r>
              <w:rPr>
                <w:rFonts w:hint="eastAsia"/>
                <w:vertAlign w:val="baseline"/>
                <w:lang w:val="en-US" w:eastAsia="zh-CN"/>
              </w:rPr>
              <w:t>MCL3,2</w:t>
            </w:r>
            <w:r>
              <w:rPr>
                <w:rFonts w:hint="eastAsia" w:cs="Arial"/>
                <w:highlight w:val="none"/>
                <w:lang w:val="en-US" w:eastAsia="zh-CN"/>
              </w:rPr>
              <w:t>+</w:t>
            </w:r>
            <w:r>
              <w:rPr>
                <w:rFonts w:hint="eastAsia" w:eastAsia="宋体" w:cs="Arial"/>
                <w:highlight w:val="none"/>
                <w:lang w:val="en-US" w:eastAsia="zh-CN"/>
              </w:rPr>
              <w:t>9</w:t>
            </w:r>
            <w:r>
              <w:rPr>
                <w:rFonts w:hint="eastAsia" w:cs="Arial"/>
                <w:highlight w:val="none"/>
                <w:lang w:val="en-US" w:eastAsia="zh-CN"/>
              </w:rPr>
              <w:t>+60</w:t>
            </w:r>
          </w:p>
        </w:tc>
      </w:tr>
      <w:tr w14:paraId="1F8B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5"/>
          </w:tcPr>
          <w:p w14:paraId="23ACD221">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NOTE 1: for NR coexisting with FDD bands, both Coexistence spurious emission for UL protection and DL protection should be fulfilled.</w:t>
            </w:r>
          </w:p>
          <w:p w14:paraId="53EEF88E">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NOTE 2: for NR coexisting with FDD bands, more stringent requirement between Coexistence spurious emission for UL protection and DL protection should be complied with. </w:t>
            </w:r>
          </w:p>
          <w:p w14:paraId="7943B908">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NOTE 3: if coexistence bands with its frequency gap less than TBD MHz or overlapping or partially overlapping with coexistence bands, then this requirement is not applicable. </w:t>
            </w:r>
          </w:p>
          <w:p w14:paraId="3F999E69">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NOTE 4: the default assumption of noise figure for UL protection is 5dB and the default assumption of noise figure for DL protection is 9dB, otherwise the value of nXX band is [TBD].</w:t>
            </w:r>
          </w:p>
        </w:tc>
      </w:tr>
    </w:tbl>
    <w:p w14:paraId="25AD05B8">
      <w:pPr>
        <w:rPr>
          <w:iCs/>
          <w:lang w:eastAsia="zh-CN"/>
        </w:rPr>
      </w:pPr>
    </w:p>
    <w:p w14:paraId="6DB4B79F">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Co-location spurious emission requirement</w:t>
      </w:r>
    </w:p>
    <w:p w14:paraId="4D4FBC4A">
      <w:pPr>
        <w:pStyle w:val="49"/>
        <w:jc w:val="left"/>
        <w:rPr>
          <w:iCs/>
          <w:lang w:eastAsia="zh-CN"/>
        </w:rPr>
      </w:pPr>
      <w:r>
        <w:rPr>
          <w:rFonts w:hint="eastAsia" w:ascii="Times New Roman" w:hAnsi="Times New Roman" w:cs="Times New Roman"/>
          <w:b w:val="0"/>
          <w:bCs w:val="0"/>
          <w:kern w:val="2"/>
          <w:sz w:val="21"/>
          <w:szCs w:val="22"/>
          <w:lang w:val="en-US" w:eastAsia="zh-CN" w:bidi="ar-SA"/>
        </w:rPr>
        <w:t xml:space="preserve">The background information on how this co-location spurious emission requirement is clarified as following. </w:t>
      </w:r>
    </w:p>
    <w:p w14:paraId="24ACAB20">
      <w:pPr>
        <w:pStyle w:val="50"/>
        <w:numPr>
          <w:ilvl w:val="0"/>
          <w:numId w:val="8"/>
        </w:numPr>
        <w:bidi w:val="0"/>
        <w:ind w:left="420" w:leftChars="0" w:hanging="420" w:firstLineChars="0"/>
        <w:rPr>
          <w:rFonts w:hint="eastAsia"/>
          <w:vertAlign w:val="baseline"/>
          <w:lang w:val="en-US" w:eastAsia="zh-CN"/>
        </w:rPr>
      </w:pPr>
      <w:r>
        <w:rPr>
          <w:rFonts w:hint="eastAsia"/>
          <w:vertAlign w:val="baseline"/>
          <w:lang w:val="en-US" w:eastAsia="zh-CN"/>
        </w:rPr>
        <w:t>The Spurious Emission Level of WA BS should be:</w:t>
      </w:r>
    </w:p>
    <w:p w14:paraId="2BA6743A">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14:paraId="11778AC8">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14:paraId="3126C8D8">
      <w:pPr>
        <w:numPr>
          <w:ilvl w:val="0"/>
          <w:numId w:val="0"/>
        </w:numPr>
        <w:spacing w:after="180"/>
        <w:jc w:val="left"/>
        <w:rPr>
          <w:rFonts w:hint="eastAsia" w:eastAsia="Times New Roman" w:cs="Times New Roman"/>
          <w:vertAlign w:val="baseline"/>
          <w:lang w:val="en-US" w:eastAsia="zh-CN"/>
        </w:rPr>
      </w:pPr>
      <w:r>
        <w:rPr>
          <w:rFonts w:hint="eastAsia" w:eastAsia="Times New Roman" w:cs="Times New Roman"/>
          <w:vertAlign w:val="baseline"/>
          <w:lang w:val="en-US" w:eastAsia="zh-CN"/>
        </w:rPr>
        <w:t>Where :</w:t>
      </w:r>
    </w:p>
    <w:p w14:paraId="2D22DB47">
      <w:pPr>
        <w:keepNext w:val="0"/>
        <w:keepLines w:val="0"/>
        <w:pageBreakBefore w:val="0"/>
        <w:widowControl w:val="0"/>
        <w:numPr>
          <w:ilvl w:val="0"/>
          <w:numId w:val="9"/>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MCL refer to the minimum coupling loss which is 30dB in the past for 3GPP. </w:t>
      </w:r>
    </w:p>
    <w:p w14:paraId="4BDB6686">
      <w:pPr>
        <w:keepNext w:val="0"/>
        <w:keepLines w:val="0"/>
        <w:pageBreakBefore w:val="0"/>
        <w:widowControl w:val="0"/>
        <w:numPr>
          <w:ilvl w:val="0"/>
          <w:numId w:val="9"/>
        </w:numPr>
        <w:kinsoku/>
        <w:wordWrap/>
        <w:overflowPunct/>
        <w:topLinePunct w:val="0"/>
        <w:autoSpaceDE/>
        <w:autoSpaceDN/>
        <w:bidi w:val="0"/>
        <w:adjustRightInd/>
        <w:snapToGrid/>
        <w:ind w:left="0" w:leftChars="0" w:firstLine="0" w:firstLineChars="0"/>
        <w:jc w:val="left"/>
        <w:textAlignment w:val="auto"/>
        <w:rPr>
          <w:iCs/>
          <w:lang w:eastAsia="zh-CN"/>
        </w:rPr>
      </w:pPr>
      <w:r>
        <w:rPr>
          <w:rFonts w:hint="eastAsia"/>
          <w:lang w:val="en-US" w:eastAsia="zh-CN"/>
        </w:rPr>
        <w:t xml:space="preserve">The BS of different classes will have different Noise figures. Generally, in most 3GPP spec, we assume that   the WA NF = 5dB, MR NF = 10dB, and LA NF = 13dB. </w:t>
      </w:r>
    </w:p>
    <w:p w14:paraId="48C3C000">
      <w:pPr>
        <w:numPr>
          <w:ilvl w:val="0"/>
          <w:numId w:val="0"/>
        </w:numPr>
        <w:ind w:leftChars="0"/>
        <w:rPr>
          <w:rFonts w:hint="eastAsia"/>
          <w:lang w:val="en-US" w:eastAsia="zh-CN"/>
        </w:rPr>
      </w:pPr>
      <w:r>
        <w:rPr>
          <w:rFonts w:hint="eastAsia"/>
          <w:lang w:val="en-US" w:eastAsia="zh-CN"/>
        </w:rPr>
        <w:t xml:space="preserve">Please find the following initial proposals on how to do the simplification for co-location spurious emission requirement.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1164"/>
        <w:gridCol w:w="2285"/>
        <w:gridCol w:w="2289"/>
        <w:gridCol w:w="2274"/>
      </w:tblGrid>
      <w:tr w14:paraId="5081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61BF0EA">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Freq offset between coexistence bands edge </w:t>
            </w:r>
          </w:p>
        </w:tc>
        <w:tc>
          <w:tcPr>
            <w:tcW w:w="0" w:type="auto"/>
          </w:tcPr>
          <w:p w14:paraId="00A60E2B">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 between BSs</w:t>
            </w:r>
          </w:p>
        </w:tc>
        <w:tc>
          <w:tcPr>
            <w:tcW w:w="0" w:type="auto"/>
            <w:vAlign w:val="top"/>
          </w:tcPr>
          <w:p w14:paraId="6BA09280">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Co-located spurious emission for WA UL protection</w:t>
            </w:r>
          </w:p>
          <w:p w14:paraId="277A287E">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dBm/100KHz</w:t>
            </w:r>
          </w:p>
        </w:tc>
        <w:tc>
          <w:tcPr>
            <w:tcW w:w="0" w:type="auto"/>
            <w:vAlign w:val="top"/>
          </w:tcPr>
          <w:p w14:paraId="359E3423">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Co-located spurious emission for MR UL protection</w:t>
            </w:r>
          </w:p>
          <w:p w14:paraId="444261FD">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dBm/100KHz</w:t>
            </w:r>
          </w:p>
        </w:tc>
        <w:tc>
          <w:tcPr>
            <w:tcW w:w="0" w:type="auto"/>
            <w:vAlign w:val="top"/>
          </w:tcPr>
          <w:p w14:paraId="46ECF836">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Co-located spurious emission for LA UL protection</w:t>
            </w:r>
          </w:p>
          <w:p w14:paraId="02D7181D">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dBm/100KHz</w:t>
            </w:r>
          </w:p>
        </w:tc>
      </w:tr>
      <w:tr w14:paraId="0ECCB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3C9AE9">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&lt;= X MHz</w:t>
            </w:r>
          </w:p>
        </w:tc>
        <w:tc>
          <w:tcPr>
            <w:tcW w:w="0" w:type="auto"/>
          </w:tcPr>
          <w:p w14:paraId="7D974179">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MCL1</w:t>
            </w:r>
          </w:p>
        </w:tc>
        <w:tc>
          <w:tcPr>
            <w:tcW w:w="0" w:type="auto"/>
            <w:vAlign w:val="top"/>
          </w:tcPr>
          <w:p w14:paraId="1463B315">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+ 5dB + 50dB</w:t>
            </w:r>
            <w:r>
              <w:rPr>
                <w:rFonts w:hint="eastAsia" w:ascii="宋体" w:hAnsi="宋体" w:eastAsia="宋体" w:cs="宋体"/>
                <w:vertAlign w:val="baseline"/>
                <w:lang w:val="en-US" w:eastAsia="zh-CN"/>
              </w:rPr>
              <w:t>－</w:t>
            </w:r>
            <w:r>
              <w:rPr>
                <w:rFonts w:hint="eastAsia"/>
                <w:vertAlign w:val="baseline"/>
                <w:lang w:val="en-US" w:eastAsia="zh-CN"/>
              </w:rPr>
              <w:t>7dB + MCL1</w:t>
            </w:r>
          </w:p>
        </w:tc>
        <w:tc>
          <w:tcPr>
            <w:tcW w:w="0" w:type="auto"/>
            <w:vAlign w:val="top"/>
          </w:tcPr>
          <w:p w14:paraId="32703635">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+ 10dB + 50dB</w:t>
            </w:r>
            <w:r>
              <w:rPr>
                <w:rFonts w:hint="eastAsia" w:ascii="宋体" w:hAnsi="宋体" w:eastAsia="宋体" w:cs="宋体"/>
                <w:vertAlign w:val="baseline"/>
                <w:lang w:val="en-US" w:eastAsia="zh-CN"/>
              </w:rPr>
              <w:t>－</w:t>
            </w:r>
            <w:r>
              <w:rPr>
                <w:rFonts w:hint="eastAsia"/>
                <w:vertAlign w:val="baseline"/>
                <w:lang w:val="en-US" w:eastAsia="zh-CN"/>
              </w:rPr>
              <w:t>7dB + MCL1</w:t>
            </w:r>
          </w:p>
        </w:tc>
        <w:tc>
          <w:tcPr>
            <w:tcW w:w="0" w:type="auto"/>
            <w:vAlign w:val="top"/>
          </w:tcPr>
          <w:p w14:paraId="4879AEC2">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+ 13dB + 50dB</w:t>
            </w:r>
            <w:r>
              <w:rPr>
                <w:rFonts w:hint="eastAsia" w:ascii="宋体" w:hAnsi="宋体" w:eastAsia="宋体" w:cs="宋体"/>
                <w:vertAlign w:val="baseline"/>
                <w:lang w:val="en-US" w:eastAsia="zh-CN"/>
              </w:rPr>
              <w:t>－</w:t>
            </w:r>
            <w:r>
              <w:rPr>
                <w:rFonts w:hint="eastAsia"/>
                <w:vertAlign w:val="baseline"/>
                <w:lang w:val="en-US" w:eastAsia="zh-CN"/>
              </w:rPr>
              <w:t>7dB + MCL1</w:t>
            </w:r>
          </w:p>
        </w:tc>
      </w:tr>
      <w:tr w14:paraId="32C0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0F69A68">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&gt;X MHz &amp; &lt;=YMHz</w:t>
            </w:r>
          </w:p>
        </w:tc>
        <w:tc>
          <w:tcPr>
            <w:tcW w:w="0" w:type="auto"/>
          </w:tcPr>
          <w:p w14:paraId="49499584">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MCL2</w:t>
            </w:r>
          </w:p>
        </w:tc>
        <w:tc>
          <w:tcPr>
            <w:tcW w:w="0" w:type="auto"/>
            <w:vAlign w:val="top"/>
          </w:tcPr>
          <w:p w14:paraId="5826F5E9">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+ 5dB + 50dB</w:t>
            </w:r>
            <w:r>
              <w:rPr>
                <w:rFonts w:hint="eastAsia" w:ascii="宋体" w:hAnsi="宋体" w:eastAsia="宋体" w:cs="宋体"/>
                <w:vertAlign w:val="baseline"/>
                <w:lang w:val="en-US" w:eastAsia="zh-CN"/>
              </w:rPr>
              <w:t>－</w:t>
            </w:r>
            <w:r>
              <w:rPr>
                <w:rFonts w:hint="eastAsia"/>
                <w:vertAlign w:val="baseline"/>
                <w:lang w:val="en-US" w:eastAsia="zh-CN"/>
              </w:rPr>
              <w:t>7dB + MCL2</w:t>
            </w:r>
          </w:p>
        </w:tc>
        <w:tc>
          <w:tcPr>
            <w:tcW w:w="0" w:type="auto"/>
            <w:vAlign w:val="top"/>
          </w:tcPr>
          <w:p w14:paraId="7CEC2004">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+ 10dB + 50dB</w:t>
            </w:r>
            <w:r>
              <w:rPr>
                <w:rFonts w:hint="eastAsia" w:ascii="宋体" w:hAnsi="宋体" w:eastAsia="宋体" w:cs="宋体"/>
                <w:vertAlign w:val="baseline"/>
                <w:lang w:val="en-US" w:eastAsia="zh-CN"/>
              </w:rPr>
              <w:t>－</w:t>
            </w:r>
            <w:r>
              <w:rPr>
                <w:rFonts w:hint="eastAsia"/>
                <w:vertAlign w:val="baseline"/>
                <w:lang w:val="en-US" w:eastAsia="zh-CN"/>
              </w:rPr>
              <w:t>7dB + MCL2</w:t>
            </w:r>
          </w:p>
        </w:tc>
        <w:tc>
          <w:tcPr>
            <w:tcW w:w="0" w:type="auto"/>
            <w:vAlign w:val="top"/>
          </w:tcPr>
          <w:p w14:paraId="501E44DF">
            <w:pPr>
              <w:keepNext w:val="0"/>
              <w:keepLines w:val="0"/>
              <w:numPr>
                <w:ilvl w:val="0"/>
                <w:numId w:val="0"/>
              </w:numPr>
              <w:suppressLineNumbers w:val="0"/>
              <w:spacing w:before="0" w:beforeAutospacing="0" w:afterAutospacing="0" w:line="480" w:lineRule="auto"/>
              <w:ind w:left="0" w:leftChars="0" w:right="0" w:firstLine="0" w:firstLineChars="0"/>
              <w:rPr>
                <w:rFonts w:hint="default"/>
                <w:vertAlign w:val="baseline"/>
                <w:lang w:val="en-US" w:eastAsia="zh-CN"/>
              </w:rPr>
            </w:pPr>
            <w:r>
              <w:rPr>
                <w:rFonts w:hint="eastAsia"/>
                <w:vertAlign w:val="baseline"/>
                <w:lang w:val="en-US" w:eastAsia="zh-CN"/>
              </w:rPr>
              <w:t>-174dBm/Hz + 13dB + 50dB</w:t>
            </w:r>
            <w:r>
              <w:rPr>
                <w:rFonts w:hint="eastAsia" w:ascii="宋体" w:hAnsi="宋体" w:eastAsia="宋体" w:cs="宋体"/>
                <w:vertAlign w:val="baseline"/>
                <w:lang w:val="en-US" w:eastAsia="zh-CN"/>
              </w:rPr>
              <w:t>－</w:t>
            </w:r>
            <w:r>
              <w:rPr>
                <w:rFonts w:hint="eastAsia"/>
                <w:vertAlign w:val="baseline"/>
                <w:lang w:val="en-US" w:eastAsia="zh-CN"/>
              </w:rPr>
              <w:t>7dB + MCL2</w:t>
            </w:r>
          </w:p>
        </w:tc>
      </w:tr>
      <w:tr w14:paraId="0824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0B823C1">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 YMHz</w:t>
            </w:r>
          </w:p>
        </w:tc>
        <w:tc>
          <w:tcPr>
            <w:tcW w:w="0" w:type="auto"/>
          </w:tcPr>
          <w:p w14:paraId="767E2083">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MCL3</w:t>
            </w:r>
          </w:p>
        </w:tc>
        <w:tc>
          <w:tcPr>
            <w:tcW w:w="0" w:type="auto"/>
            <w:vAlign w:val="top"/>
          </w:tcPr>
          <w:p w14:paraId="3B43A541">
            <w:pPr>
              <w:keepNext w:val="0"/>
              <w:keepLines w:val="0"/>
              <w:numPr>
                <w:ilvl w:val="0"/>
                <w:numId w:val="0"/>
              </w:numPr>
              <w:suppressLineNumbers w:val="0"/>
              <w:spacing w:before="0" w:beforeAutospacing="0" w:afterAutospacing="0"/>
              <w:ind w:left="0" w:leftChars="0" w:right="0" w:firstLine="0" w:firstLineChars="0"/>
              <w:rPr>
                <w:rFonts w:hint="eastAsia"/>
                <w:vertAlign w:val="baseline"/>
                <w:lang w:val="en-US" w:eastAsia="zh-CN"/>
              </w:rPr>
            </w:pPr>
            <w:r>
              <w:rPr>
                <w:rFonts w:hint="eastAsia"/>
                <w:vertAlign w:val="baseline"/>
                <w:lang w:val="en-US" w:eastAsia="zh-CN"/>
              </w:rPr>
              <w:t>-174dBm/Hz + 5dB + 50dB</w:t>
            </w:r>
            <w:r>
              <w:rPr>
                <w:rFonts w:hint="eastAsia" w:ascii="宋体" w:hAnsi="宋体" w:eastAsia="宋体" w:cs="宋体"/>
                <w:vertAlign w:val="baseline"/>
                <w:lang w:val="en-US" w:eastAsia="zh-CN"/>
              </w:rPr>
              <w:t>－</w:t>
            </w:r>
            <w:r>
              <w:rPr>
                <w:rFonts w:hint="eastAsia"/>
                <w:vertAlign w:val="baseline"/>
                <w:lang w:val="en-US" w:eastAsia="zh-CN"/>
              </w:rPr>
              <w:t>7dB + MCL3</w:t>
            </w:r>
          </w:p>
        </w:tc>
        <w:tc>
          <w:tcPr>
            <w:tcW w:w="0" w:type="auto"/>
            <w:vAlign w:val="top"/>
          </w:tcPr>
          <w:p w14:paraId="6E46E473">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+ 10dB + 50dB</w:t>
            </w:r>
            <w:r>
              <w:rPr>
                <w:rFonts w:hint="eastAsia" w:ascii="宋体" w:hAnsi="宋体" w:eastAsia="宋体" w:cs="宋体"/>
                <w:vertAlign w:val="baseline"/>
                <w:lang w:val="en-US" w:eastAsia="zh-CN"/>
              </w:rPr>
              <w:t>－</w:t>
            </w:r>
            <w:r>
              <w:rPr>
                <w:rFonts w:hint="eastAsia"/>
                <w:vertAlign w:val="baseline"/>
                <w:lang w:val="en-US" w:eastAsia="zh-CN"/>
              </w:rPr>
              <w:t>7dB + MCL3</w:t>
            </w:r>
          </w:p>
        </w:tc>
        <w:tc>
          <w:tcPr>
            <w:tcW w:w="0" w:type="auto"/>
            <w:vAlign w:val="top"/>
          </w:tcPr>
          <w:p w14:paraId="0071F90A">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+ 13dB + 50dB</w:t>
            </w:r>
            <w:r>
              <w:rPr>
                <w:rFonts w:hint="eastAsia" w:ascii="宋体" w:hAnsi="宋体" w:eastAsia="宋体" w:cs="宋体"/>
                <w:vertAlign w:val="baseline"/>
                <w:lang w:val="en-US" w:eastAsia="zh-CN"/>
              </w:rPr>
              <w:t>－</w:t>
            </w:r>
            <w:r>
              <w:rPr>
                <w:rFonts w:hint="eastAsia"/>
                <w:vertAlign w:val="baseline"/>
                <w:lang w:val="en-US" w:eastAsia="zh-CN"/>
              </w:rPr>
              <w:t>7dB + MCL3</w:t>
            </w:r>
          </w:p>
        </w:tc>
      </w:tr>
      <w:tr w14:paraId="64E1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5"/>
          </w:tcPr>
          <w:p w14:paraId="5983F937">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NOTE 1: if coexistence bands with its frequency gap less than TBD MHz or overlapping or partially overlapping with coexistence bands, then this requirement is not applicable. </w:t>
            </w:r>
          </w:p>
          <w:p w14:paraId="2EBDD4D1">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NOTE 2: to indicate that bands with different noise figure than above. </w:t>
            </w:r>
          </w:p>
        </w:tc>
      </w:tr>
    </w:tbl>
    <w:p w14:paraId="59DE0A02">
      <w:pPr>
        <w:rPr>
          <w:rFonts w:hint="eastAsia"/>
          <w:b/>
          <w:bCs/>
          <w:lang w:val="en-US" w:eastAsia="zh-CN"/>
        </w:rPr>
      </w:pPr>
    </w:p>
    <w:bookmarkEnd w:id="1"/>
    <w:bookmarkEnd w:id="2"/>
    <w:bookmarkEnd w:id="3"/>
    <w:bookmarkEnd w:id="4"/>
    <w:p w14:paraId="76E9689F">
      <w:pPr>
        <w:pStyle w:val="59"/>
        <w:tabs>
          <w:tab w:val="left" w:pos="567"/>
          <w:tab w:val="clear" w:pos="1985"/>
        </w:tabs>
        <w:adjustRightInd w:val="0"/>
        <w:ind w:left="510" w:hanging="510"/>
      </w:pPr>
      <w:r>
        <w:t>Conclusions</w:t>
      </w:r>
    </w:p>
    <w:p w14:paraId="1D7DA7E2">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default" w:ascii="Times New Roman" w:hAnsi="Times New Roman" w:cs="Times New Roman"/>
          <w:sz w:val="21"/>
          <w:szCs w:val="21"/>
          <w:lang w:val="en-US"/>
        </w:rPr>
        <w:t>OTA test scope cases</w:t>
      </w:r>
      <w:r>
        <w:rPr>
          <w:rFonts w:hint="eastAsia" w:eastAsiaTheme="minorEastAsia"/>
        </w:rPr>
        <w:t xml:space="preserve"> in RAN4 and proposals are made as following: </w:t>
      </w:r>
    </w:p>
    <w:p w14:paraId="22372708">
      <w:pPr>
        <w:spacing w:after="0"/>
        <w:jc w:val="left"/>
        <w:rPr>
          <w:rFonts w:hint="eastAsia" w:eastAsiaTheme="minorEastAsia"/>
        </w:rPr>
      </w:pPr>
      <w:r>
        <w:rPr>
          <w:rFonts w:hint="eastAsia" w:eastAsiaTheme="minorEastAsia"/>
          <w:b/>
          <w:bCs/>
          <w:lang w:val="en-US" w:eastAsia="zh-CN"/>
        </w:rPr>
        <w:t>Proposal 1</w:t>
      </w:r>
      <w:r>
        <w:rPr>
          <w:rFonts w:hint="eastAsia" w:eastAsiaTheme="minorEastAsia"/>
          <w:lang w:val="en-US" w:eastAsia="zh-CN"/>
        </w:rPr>
        <w:t xml:space="preserve">: propose to consider the following framework to simplify the </w:t>
      </w:r>
      <w:r>
        <w:rPr>
          <w:rFonts w:hint="eastAsia"/>
          <w:lang w:val="en-US" w:eastAsia="zh-CN"/>
        </w:rPr>
        <w:t>co-existence spurious emission requirement.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1414"/>
        <w:gridCol w:w="1414"/>
        <w:gridCol w:w="2876"/>
        <w:gridCol w:w="2701"/>
      </w:tblGrid>
      <w:tr w14:paraId="7636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144C2C3D">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Freq offset between coexistence bands edge </w:t>
            </w:r>
          </w:p>
        </w:tc>
        <w:tc>
          <w:tcPr>
            <w:tcW w:w="1597" w:type="dxa"/>
          </w:tcPr>
          <w:p w14:paraId="4F75B006">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 between BSs</w:t>
            </w:r>
          </w:p>
        </w:tc>
        <w:tc>
          <w:tcPr>
            <w:tcW w:w="1597" w:type="dxa"/>
          </w:tcPr>
          <w:p w14:paraId="51913F7A">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 between BS and UE</w:t>
            </w:r>
          </w:p>
        </w:tc>
        <w:tc>
          <w:tcPr>
            <w:tcW w:w="2701" w:type="dxa"/>
          </w:tcPr>
          <w:p w14:paraId="30E77252">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Coexistence spurious emission for UL protection</w:t>
            </w:r>
          </w:p>
          <w:p w14:paraId="5AD942D2">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dBm/1MHz </w:t>
            </w:r>
          </w:p>
        </w:tc>
        <w:tc>
          <w:tcPr>
            <w:tcW w:w="2373" w:type="dxa"/>
          </w:tcPr>
          <w:p w14:paraId="093461DF">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Coexistence spurious emission for DL protection</w:t>
            </w:r>
          </w:p>
          <w:p w14:paraId="63840A99">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dBm/1MHz</w:t>
            </w:r>
          </w:p>
        </w:tc>
      </w:tr>
      <w:tr w14:paraId="1A16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59433C42">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&lt;= X MHz</w:t>
            </w:r>
          </w:p>
        </w:tc>
        <w:tc>
          <w:tcPr>
            <w:tcW w:w="1597" w:type="dxa"/>
          </w:tcPr>
          <w:p w14:paraId="7B647D2C">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MCL1,1</w:t>
            </w:r>
          </w:p>
        </w:tc>
        <w:tc>
          <w:tcPr>
            <w:tcW w:w="1597" w:type="dxa"/>
          </w:tcPr>
          <w:p w14:paraId="6E665792">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MCL1,2</w:t>
            </w:r>
          </w:p>
        </w:tc>
        <w:tc>
          <w:tcPr>
            <w:tcW w:w="2701" w:type="dxa"/>
          </w:tcPr>
          <w:p w14:paraId="5C88FF20">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lang w:val="en-US" w:eastAsia="zh-CN"/>
              </w:rPr>
              <w:t>-</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w:t>
            </w:r>
            <w:r>
              <w:rPr>
                <w:rFonts w:hint="eastAsia" w:cs="Arial"/>
                <w:highlight w:val="none"/>
                <w:lang w:val="en-US" w:eastAsia="zh-CN"/>
              </w:rPr>
              <w:t>-7+</w:t>
            </w:r>
            <w:r>
              <w:rPr>
                <w:rFonts w:hint="eastAsia"/>
                <w:vertAlign w:val="baseline"/>
                <w:lang w:val="en-US" w:eastAsia="zh-CN"/>
              </w:rPr>
              <w:t>MCL1,1</w:t>
            </w:r>
          </w:p>
        </w:tc>
        <w:tc>
          <w:tcPr>
            <w:tcW w:w="2373" w:type="dxa"/>
          </w:tcPr>
          <w:p w14:paraId="450EEA44">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eastAsia="宋体" w:cs="Arial"/>
                <w:highlight w:val="none"/>
                <w:lang w:val="en-US" w:eastAsia="zh-CN"/>
              </w:rPr>
              <w:t>-174dBm/Hz+</w:t>
            </w:r>
            <w:r>
              <w:rPr>
                <w:rFonts w:hint="eastAsia"/>
                <w:vertAlign w:val="baseline"/>
                <w:lang w:val="en-US" w:eastAsia="zh-CN"/>
              </w:rPr>
              <w:t>MCL1,2</w:t>
            </w:r>
            <w:r>
              <w:rPr>
                <w:rFonts w:hint="eastAsia" w:cs="Arial"/>
                <w:highlight w:val="none"/>
                <w:lang w:val="en-US" w:eastAsia="zh-CN"/>
              </w:rPr>
              <w:t>+</w:t>
            </w:r>
            <w:r>
              <w:rPr>
                <w:rFonts w:hint="eastAsia" w:eastAsia="宋体" w:cs="Arial"/>
                <w:highlight w:val="none"/>
                <w:lang w:val="en-US" w:eastAsia="zh-CN"/>
              </w:rPr>
              <w:t>9</w:t>
            </w:r>
            <w:r>
              <w:rPr>
                <w:rFonts w:hint="eastAsia" w:cs="Arial"/>
                <w:highlight w:val="none"/>
                <w:lang w:val="en-US" w:eastAsia="zh-CN"/>
              </w:rPr>
              <w:t>+60</w:t>
            </w:r>
          </w:p>
        </w:tc>
      </w:tr>
      <w:tr w14:paraId="3D08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615697E3">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&gt;X MHz &amp; &lt;=YMHz</w:t>
            </w:r>
          </w:p>
        </w:tc>
        <w:tc>
          <w:tcPr>
            <w:tcW w:w="1597" w:type="dxa"/>
          </w:tcPr>
          <w:p w14:paraId="7E7F5E77">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MCL2,1</w:t>
            </w:r>
          </w:p>
        </w:tc>
        <w:tc>
          <w:tcPr>
            <w:tcW w:w="1597" w:type="dxa"/>
          </w:tcPr>
          <w:p w14:paraId="313921D4">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MCL2,2</w:t>
            </w:r>
          </w:p>
        </w:tc>
        <w:tc>
          <w:tcPr>
            <w:tcW w:w="2701" w:type="dxa"/>
            <w:vAlign w:val="top"/>
          </w:tcPr>
          <w:p w14:paraId="5595CECF">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lang w:val="en-US" w:eastAsia="zh-CN"/>
              </w:rPr>
              <w:t>-</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w:t>
            </w:r>
            <w:r>
              <w:rPr>
                <w:rFonts w:hint="eastAsia" w:cs="Arial"/>
                <w:highlight w:val="none"/>
                <w:lang w:val="en-US" w:eastAsia="zh-CN"/>
              </w:rPr>
              <w:t>-7</w:t>
            </w:r>
            <w:r>
              <w:rPr>
                <w:rFonts w:hint="eastAsia" w:eastAsia="宋体" w:cs="Arial"/>
                <w:highlight w:val="none"/>
                <w:lang w:val="en-US" w:eastAsia="zh-CN"/>
              </w:rPr>
              <w:t>+</w:t>
            </w:r>
            <w:r>
              <w:rPr>
                <w:rFonts w:hint="eastAsia"/>
                <w:vertAlign w:val="baseline"/>
                <w:lang w:val="en-US" w:eastAsia="zh-CN"/>
              </w:rPr>
              <w:t>MCL2,1</w:t>
            </w:r>
          </w:p>
        </w:tc>
        <w:tc>
          <w:tcPr>
            <w:tcW w:w="2373" w:type="dxa"/>
            <w:vAlign w:val="top"/>
          </w:tcPr>
          <w:p w14:paraId="0BB45976">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eastAsia="宋体" w:cs="Arial"/>
                <w:highlight w:val="none"/>
                <w:lang w:val="en-US" w:eastAsia="zh-CN"/>
              </w:rPr>
              <w:t>-174dBm/Hz+</w:t>
            </w:r>
            <w:r>
              <w:rPr>
                <w:rFonts w:hint="eastAsia"/>
                <w:vertAlign w:val="baseline"/>
                <w:lang w:val="en-US" w:eastAsia="zh-CN"/>
              </w:rPr>
              <w:t>MCL2,2</w:t>
            </w:r>
            <w:r>
              <w:rPr>
                <w:rFonts w:hint="eastAsia" w:cs="Arial"/>
                <w:highlight w:val="none"/>
                <w:lang w:val="en-US" w:eastAsia="zh-CN"/>
              </w:rPr>
              <w:t>+</w:t>
            </w:r>
            <w:r>
              <w:rPr>
                <w:rFonts w:hint="eastAsia" w:eastAsia="宋体" w:cs="Arial"/>
                <w:highlight w:val="none"/>
                <w:lang w:val="en-US" w:eastAsia="zh-CN"/>
              </w:rPr>
              <w:t>9</w:t>
            </w:r>
            <w:r>
              <w:rPr>
                <w:rFonts w:hint="eastAsia" w:cs="Arial"/>
                <w:highlight w:val="none"/>
                <w:lang w:val="en-US" w:eastAsia="zh-CN"/>
              </w:rPr>
              <w:t>+60</w:t>
            </w:r>
          </w:p>
        </w:tc>
      </w:tr>
      <w:tr w14:paraId="4927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14:paraId="74037BCF">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 YMHz</w:t>
            </w:r>
          </w:p>
        </w:tc>
        <w:tc>
          <w:tcPr>
            <w:tcW w:w="1597" w:type="dxa"/>
          </w:tcPr>
          <w:p w14:paraId="6A1AB6F0">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MCL3,1</w:t>
            </w:r>
          </w:p>
        </w:tc>
        <w:tc>
          <w:tcPr>
            <w:tcW w:w="1597" w:type="dxa"/>
          </w:tcPr>
          <w:p w14:paraId="25EA1077">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MCL3,2</w:t>
            </w:r>
          </w:p>
        </w:tc>
        <w:tc>
          <w:tcPr>
            <w:tcW w:w="2701" w:type="dxa"/>
            <w:vAlign w:val="top"/>
          </w:tcPr>
          <w:p w14:paraId="4E582B64">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lang w:val="en-US" w:eastAsia="zh-CN"/>
              </w:rPr>
              <w:t>-</w:t>
            </w:r>
            <w:r>
              <w:rPr>
                <w:rFonts w:hint="eastAsia" w:eastAsia="宋体" w:cs="Arial"/>
                <w:highlight w:val="none"/>
                <w:lang w:val="en-US" w:eastAsia="zh-CN"/>
              </w:rPr>
              <w:t>174dBm/Hz+</w:t>
            </w:r>
            <w:r>
              <w:rPr>
                <w:rFonts w:hint="eastAsia" w:cs="Arial"/>
                <w:highlight w:val="none"/>
                <w:lang w:val="en-US" w:eastAsia="zh-CN"/>
              </w:rPr>
              <w:t>60+</w:t>
            </w:r>
            <w:r>
              <w:rPr>
                <w:rFonts w:hint="eastAsia" w:eastAsia="宋体" w:cs="Arial"/>
                <w:highlight w:val="none"/>
                <w:lang w:val="en-US" w:eastAsia="zh-CN"/>
              </w:rPr>
              <w:t>5</w:t>
            </w:r>
            <w:r>
              <w:rPr>
                <w:rFonts w:hint="eastAsia" w:cs="Arial"/>
                <w:highlight w:val="none"/>
                <w:lang w:val="en-US" w:eastAsia="zh-CN"/>
              </w:rPr>
              <w:t>-7</w:t>
            </w:r>
            <w:r>
              <w:rPr>
                <w:rFonts w:hint="eastAsia" w:eastAsia="宋体" w:cs="Arial"/>
                <w:highlight w:val="none"/>
                <w:lang w:val="en-US" w:eastAsia="zh-CN"/>
              </w:rPr>
              <w:t>+</w:t>
            </w:r>
            <w:r>
              <w:rPr>
                <w:rFonts w:hint="eastAsia"/>
                <w:vertAlign w:val="baseline"/>
                <w:lang w:val="en-US" w:eastAsia="zh-CN"/>
              </w:rPr>
              <w:t>MCL3,1</w:t>
            </w:r>
          </w:p>
        </w:tc>
        <w:tc>
          <w:tcPr>
            <w:tcW w:w="2373" w:type="dxa"/>
            <w:vAlign w:val="top"/>
          </w:tcPr>
          <w:p w14:paraId="7D058B30">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eastAsia="宋体" w:cs="Arial"/>
                <w:highlight w:val="none"/>
                <w:lang w:val="en-US" w:eastAsia="zh-CN"/>
              </w:rPr>
              <w:t>-174dBm/Hz+</w:t>
            </w:r>
            <w:r>
              <w:rPr>
                <w:rFonts w:hint="eastAsia"/>
                <w:vertAlign w:val="baseline"/>
                <w:lang w:val="en-US" w:eastAsia="zh-CN"/>
              </w:rPr>
              <w:t>MCL3,2</w:t>
            </w:r>
            <w:r>
              <w:rPr>
                <w:rFonts w:hint="eastAsia" w:cs="Arial"/>
                <w:highlight w:val="none"/>
                <w:lang w:val="en-US" w:eastAsia="zh-CN"/>
              </w:rPr>
              <w:t>+</w:t>
            </w:r>
            <w:r>
              <w:rPr>
                <w:rFonts w:hint="eastAsia" w:eastAsia="宋体" w:cs="Arial"/>
                <w:highlight w:val="none"/>
                <w:lang w:val="en-US" w:eastAsia="zh-CN"/>
              </w:rPr>
              <w:t>9</w:t>
            </w:r>
            <w:r>
              <w:rPr>
                <w:rFonts w:hint="eastAsia" w:cs="Arial"/>
                <w:highlight w:val="none"/>
                <w:lang w:val="en-US" w:eastAsia="zh-CN"/>
              </w:rPr>
              <w:t>+60</w:t>
            </w:r>
          </w:p>
        </w:tc>
      </w:tr>
      <w:tr w14:paraId="4AC0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5"/>
          </w:tcPr>
          <w:p w14:paraId="6E36BBBC">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NOTE 1: for NR coexisting with FDD bands, both Coexistence spurious emission for UL protection and DL protection should be fulfilled.</w:t>
            </w:r>
          </w:p>
          <w:p w14:paraId="40D30D6A">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NOTE 2: for NR coexisting with FDD bands, more stringent requirement between Coexistence spurious emission for UL protection and DL protection should be complied with. </w:t>
            </w:r>
          </w:p>
          <w:p w14:paraId="6037DBA6">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NOTE 3: if coexistence bands with its frequency gap less than TBD MHz or overlapping or partially overlapping with coexistence bands, then this requirement is not applicable. </w:t>
            </w:r>
          </w:p>
          <w:p w14:paraId="4CA43C59">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NOTE 4: the default assumption of noise figure for UL protection is 5dB and the default assumption of noise figure for DL protection is 9dB, otherwise the value of nXX band is [TBD].</w:t>
            </w:r>
          </w:p>
        </w:tc>
      </w:tr>
    </w:tbl>
    <w:p w14:paraId="30425D1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rPr>
      </w:pPr>
    </w:p>
    <w:p w14:paraId="10E322FF">
      <w:pPr>
        <w:spacing w:after="0"/>
        <w:jc w:val="left"/>
        <w:rPr>
          <w:rFonts w:hint="eastAsia" w:eastAsiaTheme="minorEastAsia"/>
        </w:rPr>
      </w:pPr>
      <w:r>
        <w:rPr>
          <w:rFonts w:hint="eastAsia" w:eastAsiaTheme="minorEastAsia"/>
          <w:b/>
          <w:bCs/>
          <w:lang w:val="en-US" w:eastAsia="zh-CN"/>
        </w:rPr>
        <w:t>Proposal 2</w:t>
      </w:r>
      <w:r>
        <w:rPr>
          <w:rFonts w:hint="eastAsia" w:eastAsiaTheme="minorEastAsia"/>
          <w:lang w:val="en-US" w:eastAsia="zh-CN"/>
        </w:rPr>
        <w:t xml:space="preserve">: propose to consider the following framework to simplify the </w:t>
      </w:r>
      <w:r>
        <w:rPr>
          <w:rFonts w:hint="eastAsia"/>
          <w:lang w:val="en-US" w:eastAsia="zh-CN"/>
        </w:rPr>
        <w:t>co-location spurious emission requirement.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1164"/>
        <w:gridCol w:w="2285"/>
        <w:gridCol w:w="2289"/>
        <w:gridCol w:w="2274"/>
      </w:tblGrid>
      <w:tr w14:paraId="38E0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822188B">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Freq offset between coexistence bands edge </w:t>
            </w:r>
          </w:p>
        </w:tc>
        <w:tc>
          <w:tcPr>
            <w:tcW w:w="0" w:type="auto"/>
          </w:tcPr>
          <w:p w14:paraId="6F1A53E8">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MCL between BSs</w:t>
            </w:r>
          </w:p>
        </w:tc>
        <w:tc>
          <w:tcPr>
            <w:tcW w:w="0" w:type="auto"/>
            <w:vAlign w:val="top"/>
          </w:tcPr>
          <w:p w14:paraId="3FDAF6FD">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Co-located spurious emission for WA UL protection</w:t>
            </w:r>
          </w:p>
          <w:p w14:paraId="0244489C">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dBm/100KHz</w:t>
            </w:r>
          </w:p>
        </w:tc>
        <w:tc>
          <w:tcPr>
            <w:tcW w:w="0" w:type="auto"/>
            <w:vAlign w:val="top"/>
          </w:tcPr>
          <w:p w14:paraId="0548CFE3">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Co-located spurious emission for MR UL protection</w:t>
            </w:r>
          </w:p>
          <w:p w14:paraId="28208A13">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dBm/100KHz</w:t>
            </w:r>
          </w:p>
        </w:tc>
        <w:tc>
          <w:tcPr>
            <w:tcW w:w="0" w:type="auto"/>
            <w:vAlign w:val="top"/>
          </w:tcPr>
          <w:p w14:paraId="07250AF2">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Co-located spurious emission for LA UL protection</w:t>
            </w:r>
          </w:p>
          <w:p w14:paraId="21C9E477">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dBm/100KHz</w:t>
            </w:r>
          </w:p>
        </w:tc>
      </w:tr>
      <w:tr w14:paraId="715D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DC3CBE">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&lt;= X MHz</w:t>
            </w:r>
          </w:p>
        </w:tc>
        <w:tc>
          <w:tcPr>
            <w:tcW w:w="0" w:type="auto"/>
          </w:tcPr>
          <w:p w14:paraId="6B32A5DD">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MCL1</w:t>
            </w:r>
          </w:p>
        </w:tc>
        <w:tc>
          <w:tcPr>
            <w:tcW w:w="0" w:type="auto"/>
            <w:vAlign w:val="top"/>
          </w:tcPr>
          <w:p w14:paraId="61AC66DF">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+ 5dB + 50dB</w:t>
            </w:r>
            <w:r>
              <w:rPr>
                <w:rFonts w:hint="eastAsia" w:ascii="宋体" w:hAnsi="宋体" w:eastAsia="宋体" w:cs="宋体"/>
                <w:vertAlign w:val="baseline"/>
                <w:lang w:val="en-US" w:eastAsia="zh-CN"/>
              </w:rPr>
              <w:t>－</w:t>
            </w:r>
            <w:r>
              <w:rPr>
                <w:rFonts w:hint="eastAsia"/>
                <w:vertAlign w:val="baseline"/>
                <w:lang w:val="en-US" w:eastAsia="zh-CN"/>
              </w:rPr>
              <w:t>7dB + MCL1</w:t>
            </w:r>
          </w:p>
        </w:tc>
        <w:tc>
          <w:tcPr>
            <w:tcW w:w="0" w:type="auto"/>
            <w:vAlign w:val="top"/>
          </w:tcPr>
          <w:p w14:paraId="3E59E670">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+ 10dB + 50dB</w:t>
            </w:r>
            <w:r>
              <w:rPr>
                <w:rFonts w:hint="eastAsia" w:ascii="宋体" w:hAnsi="宋体" w:eastAsia="宋体" w:cs="宋体"/>
                <w:vertAlign w:val="baseline"/>
                <w:lang w:val="en-US" w:eastAsia="zh-CN"/>
              </w:rPr>
              <w:t>－</w:t>
            </w:r>
            <w:r>
              <w:rPr>
                <w:rFonts w:hint="eastAsia"/>
                <w:vertAlign w:val="baseline"/>
                <w:lang w:val="en-US" w:eastAsia="zh-CN"/>
              </w:rPr>
              <w:t>7dB + MCL1</w:t>
            </w:r>
          </w:p>
        </w:tc>
        <w:tc>
          <w:tcPr>
            <w:tcW w:w="0" w:type="auto"/>
            <w:vAlign w:val="top"/>
          </w:tcPr>
          <w:p w14:paraId="116D9DE9">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+ 13dB + 50dB</w:t>
            </w:r>
            <w:r>
              <w:rPr>
                <w:rFonts w:hint="eastAsia" w:ascii="宋体" w:hAnsi="宋体" w:eastAsia="宋体" w:cs="宋体"/>
                <w:vertAlign w:val="baseline"/>
                <w:lang w:val="en-US" w:eastAsia="zh-CN"/>
              </w:rPr>
              <w:t>－</w:t>
            </w:r>
            <w:r>
              <w:rPr>
                <w:rFonts w:hint="eastAsia"/>
                <w:vertAlign w:val="baseline"/>
                <w:lang w:val="en-US" w:eastAsia="zh-CN"/>
              </w:rPr>
              <w:t>7dB + MCL1</w:t>
            </w:r>
          </w:p>
        </w:tc>
      </w:tr>
      <w:tr w14:paraId="2B11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87132FB">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&gt;X MHz &amp; &lt;=YMHz</w:t>
            </w:r>
          </w:p>
        </w:tc>
        <w:tc>
          <w:tcPr>
            <w:tcW w:w="0" w:type="auto"/>
          </w:tcPr>
          <w:p w14:paraId="5DB9A7F0">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MCL2</w:t>
            </w:r>
          </w:p>
        </w:tc>
        <w:tc>
          <w:tcPr>
            <w:tcW w:w="0" w:type="auto"/>
            <w:vAlign w:val="top"/>
          </w:tcPr>
          <w:p w14:paraId="74CF270F">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+ 5dB + 50dB</w:t>
            </w:r>
            <w:r>
              <w:rPr>
                <w:rFonts w:hint="eastAsia" w:ascii="宋体" w:hAnsi="宋体" w:eastAsia="宋体" w:cs="宋体"/>
                <w:vertAlign w:val="baseline"/>
                <w:lang w:val="en-US" w:eastAsia="zh-CN"/>
              </w:rPr>
              <w:t>－</w:t>
            </w:r>
            <w:r>
              <w:rPr>
                <w:rFonts w:hint="eastAsia"/>
                <w:vertAlign w:val="baseline"/>
                <w:lang w:val="en-US" w:eastAsia="zh-CN"/>
              </w:rPr>
              <w:t>7dB + MCL2</w:t>
            </w:r>
          </w:p>
        </w:tc>
        <w:tc>
          <w:tcPr>
            <w:tcW w:w="0" w:type="auto"/>
            <w:vAlign w:val="top"/>
          </w:tcPr>
          <w:p w14:paraId="5377A586">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+ 10dB + 50dB</w:t>
            </w:r>
            <w:r>
              <w:rPr>
                <w:rFonts w:hint="eastAsia" w:ascii="宋体" w:hAnsi="宋体" w:eastAsia="宋体" w:cs="宋体"/>
                <w:vertAlign w:val="baseline"/>
                <w:lang w:val="en-US" w:eastAsia="zh-CN"/>
              </w:rPr>
              <w:t>－</w:t>
            </w:r>
            <w:r>
              <w:rPr>
                <w:rFonts w:hint="eastAsia"/>
                <w:vertAlign w:val="baseline"/>
                <w:lang w:val="en-US" w:eastAsia="zh-CN"/>
              </w:rPr>
              <w:t>7dB + MCL2</w:t>
            </w:r>
          </w:p>
        </w:tc>
        <w:tc>
          <w:tcPr>
            <w:tcW w:w="0" w:type="auto"/>
            <w:vAlign w:val="top"/>
          </w:tcPr>
          <w:p w14:paraId="2A30E871">
            <w:pPr>
              <w:keepNext w:val="0"/>
              <w:keepLines w:val="0"/>
              <w:numPr>
                <w:ilvl w:val="0"/>
                <w:numId w:val="0"/>
              </w:numPr>
              <w:suppressLineNumbers w:val="0"/>
              <w:spacing w:before="0" w:beforeAutospacing="0" w:afterAutospacing="0" w:line="480" w:lineRule="auto"/>
              <w:ind w:left="0" w:leftChars="0" w:right="0" w:firstLine="0" w:firstLineChars="0"/>
              <w:rPr>
                <w:rFonts w:hint="default"/>
                <w:vertAlign w:val="baseline"/>
                <w:lang w:val="en-US" w:eastAsia="zh-CN"/>
              </w:rPr>
            </w:pPr>
            <w:r>
              <w:rPr>
                <w:rFonts w:hint="eastAsia"/>
                <w:vertAlign w:val="baseline"/>
                <w:lang w:val="en-US" w:eastAsia="zh-CN"/>
              </w:rPr>
              <w:t>-174dBm/Hz + 13dB + 50dB</w:t>
            </w:r>
            <w:r>
              <w:rPr>
                <w:rFonts w:hint="eastAsia" w:ascii="宋体" w:hAnsi="宋体" w:eastAsia="宋体" w:cs="宋体"/>
                <w:vertAlign w:val="baseline"/>
                <w:lang w:val="en-US" w:eastAsia="zh-CN"/>
              </w:rPr>
              <w:t>－</w:t>
            </w:r>
            <w:r>
              <w:rPr>
                <w:rFonts w:hint="eastAsia"/>
                <w:vertAlign w:val="baseline"/>
                <w:lang w:val="en-US" w:eastAsia="zh-CN"/>
              </w:rPr>
              <w:t>7dB + MCL2</w:t>
            </w:r>
          </w:p>
        </w:tc>
      </w:tr>
      <w:tr w14:paraId="4A11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67F98B9">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&gt; YMHz</w:t>
            </w:r>
          </w:p>
        </w:tc>
        <w:tc>
          <w:tcPr>
            <w:tcW w:w="0" w:type="auto"/>
          </w:tcPr>
          <w:p w14:paraId="08FF96C3">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  MCL3</w:t>
            </w:r>
          </w:p>
        </w:tc>
        <w:tc>
          <w:tcPr>
            <w:tcW w:w="0" w:type="auto"/>
            <w:vAlign w:val="top"/>
          </w:tcPr>
          <w:p w14:paraId="45649747">
            <w:pPr>
              <w:keepNext w:val="0"/>
              <w:keepLines w:val="0"/>
              <w:numPr>
                <w:ilvl w:val="0"/>
                <w:numId w:val="0"/>
              </w:numPr>
              <w:suppressLineNumbers w:val="0"/>
              <w:spacing w:before="0" w:beforeAutospacing="0" w:afterAutospacing="0"/>
              <w:ind w:left="0" w:leftChars="0" w:right="0" w:firstLine="0" w:firstLineChars="0"/>
              <w:rPr>
                <w:rFonts w:hint="eastAsia"/>
                <w:vertAlign w:val="baseline"/>
                <w:lang w:val="en-US" w:eastAsia="zh-CN"/>
              </w:rPr>
            </w:pPr>
            <w:r>
              <w:rPr>
                <w:rFonts w:hint="eastAsia"/>
                <w:vertAlign w:val="baseline"/>
                <w:lang w:val="en-US" w:eastAsia="zh-CN"/>
              </w:rPr>
              <w:t>-174dBm/Hz + 5dB + 50dB</w:t>
            </w:r>
            <w:r>
              <w:rPr>
                <w:rFonts w:hint="eastAsia" w:ascii="宋体" w:hAnsi="宋体" w:eastAsia="宋体" w:cs="宋体"/>
                <w:vertAlign w:val="baseline"/>
                <w:lang w:val="en-US" w:eastAsia="zh-CN"/>
              </w:rPr>
              <w:t>－</w:t>
            </w:r>
            <w:r>
              <w:rPr>
                <w:rFonts w:hint="eastAsia"/>
                <w:vertAlign w:val="baseline"/>
                <w:lang w:val="en-US" w:eastAsia="zh-CN"/>
              </w:rPr>
              <w:t>7dB + MCL3</w:t>
            </w:r>
          </w:p>
        </w:tc>
        <w:tc>
          <w:tcPr>
            <w:tcW w:w="0" w:type="auto"/>
            <w:vAlign w:val="top"/>
          </w:tcPr>
          <w:p w14:paraId="052C8A59">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+ 10dB + 50dB</w:t>
            </w:r>
            <w:r>
              <w:rPr>
                <w:rFonts w:hint="eastAsia" w:ascii="宋体" w:hAnsi="宋体" w:eastAsia="宋体" w:cs="宋体"/>
                <w:vertAlign w:val="baseline"/>
                <w:lang w:val="en-US" w:eastAsia="zh-CN"/>
              </w:rPr>
              <w:t>－</w:t>
            </w:r>
            <w:r>
              <w:rPr>
                <w:rFonts w:hint="eastAsia"/>
                <w:vertAlign w:val="baseline"/>
                <w:lang w:val="en-US" w:eastAsia="zh-CN"/>
              </w:rPr>
              <w:t>7dB + MCL3</w:t>
            </w:r>
          </w:p>
        </w:tc>
        <w:tc>
          <w:tcPr>
            <w:tcW w:w="0" w:type="auto"/>
            <w:vAlign w:val="top"/>
          </w:tcPr>
          <w:p w14:paraId="52AD9589">
            <w:pPr>
              <w:keepNext w:val="0"/>
              <w:keepLines w:val="0"/>
              <w:numPr>
                <w:ilvl w:val="0"/>
                <w:numId w:val="0"/>
              </w:numPr>
              <w:suppressLineNumbers w:val="0"/>
              <w:spacing w:before="0" w:beforeAutospacing="0" w:afterAutospacing="0"/>
              <w:ind w:left="0" w:leftChars="0" w:right="0" w:firstLine="0" w:firstLineChars="0"/>
              <w:rPr>
                <w:rFonts w:hint="default"/>
                <w:vertAlign w:val="baseline"/>
                <w:lang w:val="en-US" w:eastAsia="zh-CN"/>
              </w:rPr>
            </w:pPr>
            <w:r>
              <w:rPr>
                <w:rFonts w:hint="eastAsia"/>
                <w:vertAlign w:val="baseline"/>
                <w:lang w:val="en-US" w:eastAsia="zh-CN"/>
              </w:rPr>
              <w:t>-174dBm/Hz + 13dB + 50dB</w:t>
            </w:r>
            <w:r>
              <w:rPr>
                <w:rFonts w:hint="eastAsia" w:ascii="宋体" w:hAnsi="宋体" w:eastAsia="宋体" w:cs="宋体"/>
                <w:vertAlign w:val="baseline"/>
                <w:lang w:val="en-US" w:eastAsia="zh-CN"/>
              </w:rPr>
              <w:t>－</w:t>
            </w:r>
            <w:r>
              <w:rPr>
                <w:rFonts w:hint="eastAsia"/>
                <w:vertAlign w:val="baseline"/>
                <w:lang w:val="en-US" w:eastAsia="zh-CN"/>
              </w:rPr>
              <w:t>7dB + MCL3</w:t>
            </w:r>
          </w:p>
        </w:tc>
      </w:tr>
      <w:tr w14:paraId="13381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5"/>
          </w:tcPr>
          <w:p w14:paraId="0844DF84">
            <w:pPr>
              <w:keepNext w:val="0"/>
              <w:keepLines w:val="0"/>
              <w:numPr>
                <w:ilvl w:val="0"/>
                <w:numId w:val="0"/>
              </w:numPr>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NOTE 1: if coexistence bands with its frequency gap less than TBD MHz or overlapping or partially overlapping with coexistence bands, then this requirement is not applicable. </w:t>
            </w:r>
          </w:p>
          <w:p w14:paraId="3D3009E6">
            <w:pPr>
              <w:keepNext w:val="0"/>
              <w:keepLines w:val="0"/>
              <w:numPr>
                <w:ilvl w:val="0"/>
                <w:numId w:val="0"/>
              </w:numPr>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NOTE 2: to indicate that bands with different noise figure than above. </w:t>
            </w:r>
          </w:p>
        </w:tc>
      </w:tr>
    </w:tbl>
    <w:p w14:paraId="05C46F5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b/>
          <w:bCs/>
          <w:lang w:val="en-US" w:eastAsia="zh-CN"/>
        </w:rPr>
        <w:t>Proposal 3</w:t>
      </w:r>
      <w:r>
        <w:rPr>
          <w:rFonts w:hint="eastAsia" w:eastAsiaTheme="minorEastAsia"/>
          <w:lang w:val="en-US" w:eastAsia="zh-CN"/>
        </w:rPr>
        <w:t xml:space="preserve">: for the spec simplification update, propose to wait for the outcome of Rel-19 BS RF enhancement. </w:t>
      </w:r>
    </w:p>
    <w:p w14:paraId="1730B70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Theme="minorEastAsia"/>
          <w:lang w:val="en-US" w:eastAsia="zh-CN"/>
        </w:rPr>
      </w:pPr>
      <w:r>
        <w:rPr>
          <w:rFonts w:hint="eastAsia" w:eastAsiaTheme="minorEastAsia"/>
          <w:b/>
          <w:bCs/>
          <w:lang w:val="en-US" w:eastAsia="zh-CN"/>
        </w:rPr>
        <w:t>Proposal 4</w:t>
      </w:r>
      <w:r>
        <w:rPr>
          <w:rFonts w:hint="eastAsia" w:eastAsiaTheme="minorEastAsia"/>
          <w:lang w:val="en-US" w:eastAsia="zh-CN"/>
        </w:rPr>
        <w:t xml:space="preserve">: for the spec simplification update in NCR or IAB spec, propose to either capture the same simplified table or reference approach to BS spec. </w:t>
      </w:r>
    </w:p>
    <w:p w14:paraId="6388A538">
      <w:pPr>
        <w:pStyle w:val="59"/>
        <w:tabs>
          <w:tab w:val="left" w:pos="567"/>
          <w:tab w:val="clear" w:pos="1985"/>
        </w:tabs>
        <w:adjustRightInd w:val="0"/>
        <w:ind w:left="510" w:hanging="510"/>
      </w:pPr>
      <w:r>
        <w:t>References</w:t>
      </w:r>
    </w:p>
    <w:p w14:paraId="085F043E">
      <w:pPr>
        <w:pStyle w:val="57"/>
        <w:numPr>
          <w:ilvl w:val="0"/>
          <w:numId w:val="10"/>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RP-240829,New WID: WI resulting from discussion on BS RF requirement evolution, Approved.</w:t>
      </w:r>
    </w:p>
    <w:p w14:paraId="25AA3108">
      <w:pPr>
        <w:pStyle w:val="57"/>
        <w:numPr>
          <w:ilvl w:val="0"/>
          <w:numId w:val="10"/>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R4-2502306</w:t>
      </w:r>
      <w:r>
        <w:rPr>
          <w:rFonts w:hint="eastAsia" w:cs="Times New Roman"/>
          <w:sz w:val="20"/>
          <w:szCs w:val="20"/>
          <w:lang w:val="en-US" w:eastAsia="zh-CN"/>
        </w:rPr>
        <w:t xml:space="preserve">, </w:t>
      </w:r>
      <w:r>
        <w:rPr>
          <w:rFonts w:hint="eastAsia" w:ascii="Times New Roman" w:hAnsi="Times New Roman" w:cs="Times New Roman"/>
          <w:sz w:val="20"/>
          <w:szCs w:val="20"/>
        </w:rPr>
        <w:t>Way Forward for [114][331] BSRF_Simplify_CoLo_Coex</w:t>
      </w:r>
      <w:r>
        <w:rPr>
          <w:rFonts w:hint="eastAsia" w:cs="Times New Roman"/>
          <w:sz w:val="20"/>
          <w:szCs w:val="20"/>
          <w:lang w:val="en-US" w:eastAsia="zh-CN"/>
        </w:rPr>
        <w:t>, Ericsson, approved.</w:t>
      </w:r>
    </w:p>
    <w:p w14:paraId="03905B85">
      <w:pPr>
        <w:pStyle w:val="57"/>
        <w:numPr>
          <w:ilvl w:val="0"/>
          <w:numId w:val="0"/>
        </w:numPr>
        <w:spacing w:after="0" w:line="260" w:lineRule="auto"/>
        <w:rPr>
          <w:rFonts w:hint="eastAsia" w:eastAsia="宋体"/>
          <w:sz w:val="20"/>
          <w:szCs w:val="20"/>
          <w:lang w:val="en-US" w:eastAsia="zh-CN"/>
        </w:rPr>
      </w:pPr>
    </w:p>
    <w:p w14:paraId="7CF65A4C">
      <w:pPr>
        <w:pStyle w:val="57"/>
        <w:numPr>
          <w:ilvl w:val="0"/>
          <w:numId w:val="0"/>
        </w:numPr>
        <w:spacing w:after="0" w:line="260" w:lineRule="auto"/>
        <w:rPr>
          <w:rFonts w:hint="eastAsia" w:eastAsia="宋体"/>
          <w:sz w:val="20"/>
          <w:szCs w:val="20"/>
        </w:rPr>
      </w:pPr>
    </w:p>
    <w:p w14:paraId="54584B0B">
      <w:pPr>
        <w:pStyle w:val="57"/>
        <w:numPr>
          <w:ilvl w:val="0"/>
          <w:numId w:val="0"/>
        </w:numPr>
        <w:spacing w:after="0" w:line="260" w:lineRule="auto"/>
        <w:rPr>
          <w:rFonts w:hint="eastAsia" w:ascii="Times New Roman" w:hAnsi="Times New Roman" w:cs="Times New Roman"/>
          <w:sz w:val="20"/>
          <w:szCs w:val="20"/>
        </w:rPr>
      </w:pPr>
    </w:p>
    <w:p w14:paraId="0A6E63B9">
      <w:pPr>
        <w:pStyle w:val="57"/>
        <w:rPr>
          <w:sz w:val="20"/>
          <w:szCs w:val="20"/>
        </w:rPr>
      </w:pPr>
    </w:p>
    <w:p w14:paraId="28929213">
      <w:pPr>
        <w:pStyle w:val="57"/>
        <w:numPr>
          <w:ilvl w:val="255"/>
          <w:numId w:val="0"/>
        </w:numPr>
        <w:rPr>
          <w:sz w:val="20"/>
          <w:szCs w:val="20"/>
        </w:rPr>
      </w:pPr>
    </w:p>
    <w:p w14:paraId="26627657">
      <w:pPr>
        <w:pStyle w:val="57"/>
        <w:numPr>
          <w:ilvl w:val="255"/>
          <w:numId w:val="0"/>
        </w:numPr>
        <w:rPr>
          <w:sz w:val="20"/>
          <w:szCs w:val="20"/>
        </w:rPr>
      </w:pPr>
    </w:p>
    <w:p w14:paraId="5E7E6070">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2790">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AB1AC"/>
    <w:multiLevelType w:val="singleLevel"/>
    <w:tmpl w:val="821AB1AC"/>
    <w:lvl w:ilvl="0" w:tentative="0">
      <w:start w:val="1"/>
      <w:numFmt w:val="bullet"/>
      <w:lvlText w:val=""/>
      <w:lvlJc w:val="left"/>
      <w:pPr>
        <w:ind w:left="420" w:hanging="420"/>
      </w:pPr>
      <w:rPr>
        <w:rFonts w:hint="default" w:ascii="Wingdings" w:hAnsi="Wingdings"/>
      </w:rPr>
    </w:lvl>
  </w:abstractNum>
  <w:abstractNum w:abstractNumId="1">
    <w:nsid w:val="8776EA1F"/>
    <w:multiLevelType w:val="singleLevel"/>
    <w:tmpl w:val="8776EA1F"/>
    <w:lvl w:ilvl="0" w:tentative="0">
      <w:start w:val="1"/>
      <w:numFmt w:val="bullet"/>
      <w:lvlText w:val=""/>
      <w:lvlJc w:val="left"/>
      <w:pPr>
        <w:ind w:left="420" w:hanging="420"/>
      </w:pPr>
      <w:rPr>
        <w:rFonts w:hint="default" w:ascii="Wingdings" w:hAnsi="Wingdings"/>
      </w:rPr>
    </w:lvl>
  </w:abstractNum>
  <w:abstractNum w:abstractNumId="2">
    <w:nsid w:val="A2C05BB9"/>
    <w:multiLevelType w:val="singleLevel"/>
    <w:tmpl w:val="A2C05BB9"/>
    <w:lvl w:ilvl="0" w:tentative="0">
      <w:start w:val="1"/>
      <w:numFmt w:val="bullet"/>
      <w:lvlText w:val="‒"/>
      <w:lvlJc w:val="left"/>
      <w:pPr>
        <w:ind w:left="420" w:leftChars="0" w:hanging="420" w:firstLineChars="0"/>
      </w:pPr>
      <w:rPr>
        <w:rFonts w:hint="default" w:ascii="Arial" w:hAnsi="Arial" w:cs="Arial"/>
      </w:rPr>
    </w:lvl>
  </w:abstractNum>
  <w:abstractNum w:abstractNumId="3">
    <w:nsid w:val="DFAE1895"/>
    <w:multiLevelType w:val="singleLevel"/>
    <w:tmpl w:val="DFAE1895"/>
    <w:lvl w:ilvl="0" w:tentative="0">
      <w:start w:val="1"/>
      <w:numFmt w:val="decimal"/>
      <w:suff w:val="space"/>
      <w:lvlText w:val="[%1]"/>
      <w:lvlJc w:val="left"/>
    </w:lvl>
  </w:abstractNum>
  <w:abstractNum w:abstractNumId="4">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5">
    <w:nsid w:val="10B107A0"/>
    <w:multiLevelType w:val="multilevel"/>
    <w:tmpl w:val="10B107A0"/>
    <w:lvl w:ilvl="0" w:tentative="0">
      <w:start w:val="1"/>
      <w:numFmt w:val="decimal"/>
      <w:lvlText w:val="%1."/>
      <w:lvlJc w:val="left"/>
      <w:pPr>
        <w:ind w:left="2632" w:hanging="360"/>
      </w:pPr>
      <w:rPr>
        <w:rFonts w:hint="default"/>
      </w:rPr>
    </w:lvl>
    <w:lvl w:ilvl="1" w:tentative="0">
      <w:start w:val="1"/>
      <w:numFmt w:val="lowerLetter"/>
      <w:lvlText w:val="%2."/>
      <w:lvlJc w:val="left"/>
      <w:pPr>
        <w:ind w:left="3352" w:hanging="360"/>
      </w:pPr>
    </w:lvl>
    <w:lvl w:ilvl="2" w:tentative="0">
      <w:start w:val="1"/>
      <w:numFmt w:val="lowerRoman"/>
      <w:lvlText w:val="%3."/>
      <w:lvlJc w:val="right"/>
      <w:pPr>
        <w:ind w:left="4072" w:hanging="180"/>
      </w:pPr>
    </w:lvl>
    <w:lvl w:ilvl="3" w:tentative="0">
      <w:start w:val="1"/>
      <w:numFmt w:val="decimal"/>
      <w:lvlText w:val="%4."/>
      <w:lvlJc w:val="left"/>
      <w:pPr>
        <w:ind w:left="4792" w:hanging="360"/>
      </w:pPr>
    </w:lvl>
    <w:lvl w:ilvl="4" w:tentative="0">
      <w:start w:val="1"/>
      <w:numFmt w:val="lowerLetter"/>
      <w:lvlText w:val="%5."/>
      <w:lvlJc w:val="left"/>
      <w:pPr>
        <w:ind w:left="5512" w:hanging="360"/>
      </w:pPr>
    </w:lvl>
    <w:lvl w:ilvl="5" w:tentative="0">
      <w:start w:val="1"/>
      <w:numFmt w:val="lowerRoman"/>
      <w:lvlText w:val="%6."/>
      <w:lvlJc w:val="right"/>
      <w:pPr>
        <w:ind w:left="6232" w:hanging="180"/>
      </w:pPr>
    </w:lvl>
    <w:lvl w:ilvl="6" w:tentative="0">
      <w:start w:val="1"/>
      <w:numFmt w:val="decimal"/>
      <w:lvlText w:val="%7."/>
      <w:lvlJc w:val="left"/>
      <w:pPr>
        <w:ind w:left="6952" w:hanging="360"/>
      </w:pPr>
    </w:lvl>
    <w:lvl w:ilvl="7" w:tentative="0">
      <w:start w:val="1"/>
      <w:numFmt w:val="lowerLetter"/>
      <w:lvlText w:val="%8."/>
      <w:lvlJc w:val="left"/>
      <w:pPr>
        <w:ind w:left="7672" w:hanging="360"/>
      </w:pPr>
    </w:lvl>
    <w:lvl w:ilvl="8" w:tentative="0">
      <w:start w:val="1"/>
      <w:numFmt w:val="lowerRoman"/>
      <w:lvlText w:val="%9."/>
      <w:lvlJc w:val="right"/>
      <w:pPr>
        <w:ind w:left="8392" w:hanging="180"/>
      </w:pPr>
    </w:lvl>
  </w:abstractNum>
  <w:abstractNum w:abstractNumId="6">
    <w:nsid w:val="243D774B"/>
    <w:multiLevelType w:val="multilevel"/>
    <w:tmpl w:val="243D774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F3B45CB"/>
    <w:multiLevelType w:val="multilevel"/>
    <w:tmpl w:val="4F3B45CB"/>
    <w:lvl w:ilvl="0" w:tentative="0">
      <w:start w:val="1"/>
      <w:numFmt w:val="decimal"/>
      <w:lvlText w:val="%1."/>
      <w:lvlJc w:val="left"/>
      <w:pPr>
        <w:ind w:left="2632" w:hanging="360"/>
      </w:pPr>
      <w:rPr>
        <w:rFonts w:hint="default"/>
      </w:rPr>
    </w:lvl>
    <w:lvl w:ilvl="1" w:tentative="0">
      <w:start w:val="1"/>
      <w:numFmt w:val="lowerLetter"/>
      <w:lvlText w:val="%2."/>
      <w:lvlJc w:val="left"/>
      <w:pPr>
        <w:ind w:left="3352" w:hanging="360"/>
      </w:pPr>
    </w:lvl>
    <w:lvl w:ilvl="2" w:tentative="0">
      <w:start w:val="1"/>
      <w:numFmt w:val="lowerRoman"/>
      <w:lvlText w:val="%3."/>
      <w:lvlJc w:val="right"/>
      <w:pPr>
        <w:ind w:left="4072" w:hanging="180"/>
      </w:pPr>
    </w:lvl>
    <w:lvl w:ilvl="3" w:tentative="0">
      <w:start w:val="1"/>
      <w:numFmt w:val="decimal"/>
      <w:lvlText w:val="%4."/>
      <w:lvlJc w:val="left"/>
      <w:pPr>
        <w:ind w:left="4792" w:hanging="360"/>
      </w:pPr>
    </w:lvl>
    <w:lvl w:ilvl="4" w:tentative="0">
      <w:start w:val="1"/>
      <w:numFmt w:val="lowerLetter"/>
      <w:lvlText w:val="%5."/>
      <w:lvlJc w:val="left"/>
      <w:pPr>
        <w:ind w:left="5512" w:hanging="360"/>
      </w:pPr>
    </w:lvl>
    <w:lvl w:ilvl="5" w:tentative="0">
      <w:start w:val="1"/>
      <w:numFmt w:val="lowerRoman"/>
      <w:lvlText w:val="%6."/>
      <w:lvlJc w:val="right"/>
      <w:pPr>
        <w:ind w:left="6232" w:hanging="180"/>
      </w:pPr>
    </w:lvl>
    <w:lvl w:ilvl="6" w:tentative="0">
      <w:start w:val="1"/>
      <w:numFmt w:val="decimal"/>
      <w:lvlText w:val="%7."/>
      <w:lvlJc w:val="left"/>
      <w:pPr>
        <w:ind w:left="6952" w:hanging="360"/>
      </w:pPr>
    </w:lvl>
    <w:lvl w:ilvl="7" w:tentative="0">
      <w:start w:val="1"/>
      <w:numFmt w:val="lowerLetter"/>
      <w:lvlText w:val="%8."/>
      <w:lvlJc w:val="left"/>
      <w:pPr>
        <w:ind w:left="7672" w:hanging="360"/>
      </w:pPr>
    </w:lvl>
    <w:lvl w:ilvl="8" w:tentative="0">
      <w:start w:val="1"/>
      <w:numFmt w:val="lowerRoman"/>
      <w:lvlText w:val="%9."/>
      <w:lvlJc w:val="right"/>
      <w:pPr>
        <w:ind w:left="8392" w:hanging="180"/>
      </w:pPr>
    </w:lvl>
  </w:abstractNum>
  <w:abstractNum w:abstractNumId="9">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9"/>
  </w:num>
  <w:num w:numId="2">
    <w:abstractNumId w:val="4"/>
  </w:num>
  <w:num w:numId="3">
    <w:abstractNumId w:val="7"/>
  </w:num>
  <w:num w:numId="4">
    <w:abstractNumId w:val="6"/>
  </w:num>
  <w:num w:numId="5">
    <w:abstractNumId w:val="5"/>
  </w:num>
  <w:num w:numId="6">
    <w:abstractNumId w:val="8"/>
  </w:num>
  <w:num w:numId="7">
    <w:abstractNumId w:val="1"/>
  </w:num>
  <w:num w:numId="8">
    <w:abstractNumId w:val="0"/>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7308A"/>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17B5"/>
    <w:rsid w:val="03DA220E"/>
    <w:rsid w:val="03E54642"/>
    <w:rsid w:val="03F477C7"/>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4A0402"/>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055E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565ED"/>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954E4"/>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66BCD"/>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4B2B"/>
    <w:rsid w:val="0AB97D26"/>
    <w:rsid w:val="0ABA55D8"/>
    <w:rsid w:val="0ABC7E5E"/>
    <w:rsid w:val="0AC23AEF"/>
    <w:rsid w:val="0ACD4245"/>
    <w:rsid w:val="0AD30054"/>
    <w:rsid w:val="0AD57FD6"/>
    <w:rsid w:val="0AD84FAB"/>
    <w:rsid w:val="0ADD7B55"/>
    <w:rsid w:val="0AE00E26"/>
    <w:rsid w:val="0AE70A68"/>
    <w:rsid w:val="0AEA57FC"/>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5663D"/>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9C2F25"/>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CA68E9"/>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60970"/>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64FC0"/>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0C46A9"/>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577D0"/>
    <w:rsid w:val="17260A88"/>
    <w:rsid w:val="172B6CEB"/>
    <w:rsid w:val="172E31B3"/>
    <w:rsid w:val="17343071"/>
    <w:rsid w:val="17350245"/>
    <w:rsid w:val="17382580"/>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8C538D"/>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6035E"/>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5E7A6C"/>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71097"/>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322CB"/>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A627C"/>
    <w:rsid w:val="206301A7"/>
    <w:rsid w:val="20642E89"/>
    <w:rsid w:val="2067334B"/>
    <w:rsid w:val="206D3F96"/>
    <w:rsid w:val="206D7380"/>
    <w:rsid w:val="206F7CD5"/>
    <w:rsid w:val="2070080A"/>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B1801"/>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120C"/>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CD79B1"/>
    <w:rsid w:val="25D14317"/>
    <w:rsid w:val="25D33C43"/>
    <w:rsid w:val="25D64403"/>
    <w:rsid w:val="25DC0E91"/>
    <w:rsid w:val="25E32F35"/>
    <w:rsid w:val="25EB7CD4"/>
    <w:rsid w:val="25EC6F2C"/>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6096C"/>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36336"/>
    <w:rsid w:val="27744B4E"/>
    <w:rsid w:val="277902B7"/>
    <w:rsid w:val="277A5E6A"/>
    <w:rsid w:val="277E547B"/>
    <w:rsid w:val="278A6416"/>
    <w:rsid w:val="2790513A"/>
    <w:rsid w:val="279408D2"/>
    <w:rsid w:val="27983FEE"/>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1446FF"/>
    <w:rsid w:val="2824417F"/>
    <w:rsid w:val="28255041"/>
    <w:rsid w:val="282B1213"/>
    <w:rsid w:val="2835725E"/>
    <w:rsid w:val="283832F0"/>
    <w:rsid w:val="283A1E3E"/>
    <w:rsid w:val="283F0B9A"/>
    <w:rsid w:val="284321AC"/>
    <w:rsid w:val="284543A1"/>
    <w:rsid w:val="28455B9B"/>
    <w:rsid w:val="28506F1C"/>
    <w:rsid w:val="285465E8"/>
    <w:rsid w:val="28553E1D"/>
    <w:rsid w:val="2859475D"/>
    <w:rsid w:val="285C4CC5"/>
    <w:rsid w:val="285E09C3"/>
    <w:rsid w:val="285E5D04"/>
    <w:rsid w:val="2866568E"/>
    <w:rsid w:val="28693318"/>
    <w:rsid w:val="286B3B61"/>
    <w:rsid w:val="286B52E0"/>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439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62171"/>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B22FF"/>
    <w:rsid w:val="2BA252E6"/>
    <w:rsid w:val="2BA53554"/>
    <w:rsid w:val="2BAC4FE7"/>
    <w:rsid w:val="2BB0363B"/>
    <w:rsid w:val="2BB44220"/>
    <w:rsid w:val="2BB44986"/>
    <w:rsid w:val="2BB61EA7"/>
    <w:rsid w:val="2BBA6EF5"/>
    <w:rsid w:val="2BBD5502"/>
    <w:rsid w:val="2BBE53B4"/>
    <w:rsid w:val="2BC03979"/>
    <w:rsid w:val="2BC873B9"/>
    <w:rsid w:val="2BC941AF"/>
    <w:rsid w:val="2BCC24B9"/>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8E211C"/>
    <w:rsid w:val="2D917699"/>
    <w:rsid w:val="2D976337"/>
    <w:rsid w:val="2D9C1AA5"/>
    <w:rsid w:val="2DA02E9C"/>
    <w:rsid w:val="2DA30310"/>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A74B4"/>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41DB4"/>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0B520B"/>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631F3"/>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CC4C46"/>
    <w:rsid w:val="34D47C8A"/>
    <w:rsid w:val="34D53C74"/>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34AD8"/>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701C31"/>
    <w:rsid w:val="36720A4C"/>
    <w:rsid w:val="367210E9"/>
    <w:rsid w:val="36752210"/>
    <w:rsid w:val="36776A4B"/>
    <w:rsid w:val="3681695C"/>
    <w:rsid w:val="36820E97"/>
    <w:rsid w:val="36884498"/>
    <w:rsid w:val="36922B55"/>
    <w:rsid w:val="369260AD"/>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C1335"/>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114A"/>
    <w:rsid w:val="378E3617"/>
    <w:rsid w:val="37931A90"/>
    <w:rsid w:val="37984905"/>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A22BF"/>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5E9F"/>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64337"/>
    <w:rsid w:val="399B5B0D"/>
    <w:rsid w:val="39A05979"/>
    <w:rsid w:val="39A471AE"/>
    <w:rsid w:val="39A90F14"/>
    <w:rsid w:val="39AB5689"/>
    <w:rsid w:val="39B747A8"/>
    <w:rsid w:val="39BB78F7"/>
    <w:rsid w:val="39BC428E"/>
    <w:rsid w:val="39BF2BB7"/>
    <w:rsid w:val="39C46549"/>
    <w:rsid w:val="39CA1A60"/>
    <w:rsid w:val="39D31AAB"/>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82FB0"/>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C6031"/>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DD7C05"/>
    <w:rsid w:val="3EE067E4"/>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67168"/>
    <w:rsid w:val="42A87389"/>
    <w:rsid w:val="42B50F57"/>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42155"/>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0313"/>
    <w:rsid w:val="459B56C8"/>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97422"/>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BE4386"/>
    <w:rsid w:val="48C17F25"/>
    <w:rsid w:val="48C3444A"/>
    <w:rsid w:val="48C34E74"/>
    <w:rsid w:val="48C43EFA"/>
    <w:rsid w:val="48C538B2"/>
    <w:rsid w:val="48C70477"/>
    <w:rsid w:val="48C72E35"/>
    <w:rsid w:val="48C82BD7"/>
    <w:rsid w:val="48C9414A"/>
    <w:rsid w:val="48CB0DA2"/>
    <w:rsid w:val="48D25798"/>
    <w:rsid w:val="48DC218B"/>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482B"/>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10BD9"/>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92E6F"/>
    <w:rsid w:val="4D2A2C09"/>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AE1632"/>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2C6C47"/>
    <w:rsid w:val="4F36758C"/>
    <w:rsid w:val="4F376D93"/>
    <w:rsid w:val="4F3957DF"/>
    <w:rsid w:val="4F3D4163"/>
    <w:rsid w:val="4F4E7DA7"/>
    <w:rsid w:val="4F50208E"/>
    <w:rsid w:val="4F560A53"/>
    <w:rsid w:val="4F5704A1"/>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A4F97"/>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420FD"/>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03D8D"/>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72AC4"/>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0A6D"/>
    <w:rsid w:val="54BC1CEB"/>
    <w:rsid w:val="54CC175C"/>
    <w:rsid w:val="54CC47C4"/>
    <w:rsid w:val="54CD258C"/>
    <w:rsid w:val="54CE1B9D"/>
    <w:rsid w:val="54D50B2A"/>
    <w:rsid w:val="54D70EEF"/>
    <w:rsid w:val="54DF688B"/>
    <w:rsid w:val="54E85E2E"/>
    <w:rsid w:val="54E95643"/>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72F12"/>
    <w:rsid w:val="57685F5D"/>
    <w:rsid w:val="57692A18"/>
    <w:rsid w:val="576B22D6"/>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8F92290"/>
    <w:rsid w:val="59094784"/>
    <w:rsid w:val="590D2D27"/>
    <w:rsid w:val="59125193"/>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2F2E"/>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B37B8"/>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0E43"/>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3F26A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D80ABF"/>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5F4E16"/>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6497C"/>
    <w:rsid w:val="5FBF3440"/>
    <w:rsid w:val="5FC53509"/>
    <w:rsid w:val="5FCC5D9F"/>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619B"/>
    <w:rsid w:val="61067A64"/>
    <w:rsid w:val="610C7D1D"/>
    <w:rsid w:val="610F0CDA"/>
    <w:rsid w:val="61105E47"/>
    <w:rsid w:val="6112529A"/>
    <w:rsid w:val="611814CD"/>
    <w:rsid w:val="611A085E"/>
    <w:rsid w:val="611A7B15"/>
    <w:rsid w:val="611C59F7"/>
    <w:rsid w:val="611F0B09"/>
    <w:rsid w:val="61200AAF"/>
    <w:rsid w:val="61204499"/>
    <w:rsid w:val="61220D70"/>
    <w:rsid w:val="612D2321"/>
    <w:rsid w:val="612F769F"/>
    <w:rsid w:val="613964B7"/>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2E8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F347A"/>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43EFB"/>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CB7079"/>
    <w:rsid w:val="68D94717"/>
    <w:rsid w:val="68DD619B"/>
    <w:rsid w:val="68EC3A15"/>
    <w:rsid w:val="68ED69A7"/>
    <w:rsid w:val="68FD5593"/>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20E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30F81"/>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53829"/>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3000AA"/>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37F96"/>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D06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19D"/>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855C3"/>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84EC4"/>
    <w:rsid w:val="72CE3184"/>
    <w:rsid w:val="72CE7D06"/>
    <w:rsid w:val="72CF40C2"/>
    <w:rsid w:val="72D211CC"/>
    <w:rsid w:val="72D456A5"/>
    <w:rsid w:val="72E70D52"/>
    <w:rsid w:val="72EA6B66"/>
    <w:rsid w:val="72EB27F1"/>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F0E23"/>
    <w:rsid w:val="74894C93"/>
    <w:rsid w:val="74964674"/>
    <w:rsid w:val="749D5800"/>
    <w:rsid w:val="74A63A12"/>
    <w:rsid w:val="74A73312"/>
    <w:rsid w:val="74A739B2"/>
    <w:rsid w:val="74B06962"/>
    <w:rsid w:val="74B32215"/>
    <w:rsid w:val="74BC7516"/>
    <w:rsid w:val="74BF02E9"/>
    <w:rsid w:val="74C0607C"/>
    <w:rsid w:val="74C46840"/>
    <w:rsid w:val="74CC2B9D"/>
    <w:rsid w:val="74D575AA"/>
    <w:rsid w:val="74D71DDE"/>
    <w:rsid w:val="74D95703"/>
    <w:rsid w:val="74DA7956"/>
    <w:rsid w:val="74E11F86"/>
    <w:rsid w:val="74FB509B"/>
    <w:rsid w:val="74FB6035"/>
    <w:rsid w:val="74FF07F1"/>
    <w:rsid w:val="7502618E"/>
    <w:rsid w:val="7507587E"/>
    <w:rsid w:val="75076FFE"/>
    <w:rsid w:val="750934A8"/>
    <w:rsid w:val="750A15E4"/>
    <w:rsid w:val="750C46DC"/>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237F5"/>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C7492"/>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6</Pages>
  <Words>563</Words>
  <Characters>3315</Characters>
  <Lines>130</Lines>
  <Paragraphs>36</Paragraphs>
  <TotalTime>0</TotalTime>
  <ScaleCrop>false</ScaleCrop>
  <LinksUpToDate>false</LinksUpToDate>
  <CharactersWithSpaces>3899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2025-03-28T14:13:14Z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